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olor w:val="auto"/>
          <w:sz w:val="72"/>
          <w:szCs w:val="72"/>
        </w:rPr>
      </w:pPr>
      <w:bookmarkStart w:id="0" w:name="_Toc536591124"/>
      <w:bookmarkStart w:id="1" w:name="t2"/>
      <w:bookmarkStart w:id="2" w:name="_Toc536607955"/>
      <w:r>
        <w:rPr>
          <w:rFonts w:hint="eastAsia" w:ascii="方正小标宋简体" w:hAnsi="方正小标宋简体" w:eastAsia="方正小标宋简体"/>
          <w:color w:val="auto"/>
          <w:sz w:val="72"/>
          <w:szCs w:val="72"/>
        </w:rPr>
        <w:t>石家庄财经商贸学校</w:t>
      </w:r>
    </w:p>
    <w:p>
      <w:pPr>
        <w:jc w:val="center"/>
        <w:rPr>
          <w:rFonts w:ascii="方正小标宋简体" w:hAnsi="方正小标宋简体" w:eastAsia="方正小标宋简体"/>
          <w:color w:val="auto"/>
          <w:sz w:val="72"/>
          <w:szCs w:val="72"/>
        </w:rPr>
      </w:pPr>
      <w:r>
        <w:rPr>
          <w:rFonts w:hint="eastAsia" w:ascii="方正小标宋简体" w:hAnsi="方正小标宋简体" w:eastAsia="方正小标宋简体"/>
          <w:color w:val="auto"/>
          <w:sz w:val="72"/>
          <w:szCs w:val="72"/>
        </w:rPr>
        <w:t>专业人才培养方案</w:t>
      </w:r>
    </w:p>
    <w:p>
      <w:pPr>
        <w:rPr>
          <w:rFonts w:ascii="方正小标宋简体" w:hAnsi="方正小标宋简体" w:eastAsia="方正小标宋简体"/>
          <w:color w:val="auto"/>
          <w:sz w:val="72"/>
          <w:szCs w:val="72"/>
        </w:rPr>
      </w:pPr>
    </w:p>
    <w:p>
      <w:pPr>
        <w:rPr>
          <w:rFonts w:ascii="方正小标宋简体" w:hAnsi="方正小标宋简体" w:eastAsia="方正小标宋简体"/>
          <w:color w:val="auto"/>
          <w:sz w:val="72"/>
          <w:szCs w:val="72"/>
        </w:rPr>
      </w:pPr>
    </w:p>
    <w:p>
      <w:pPr>
        <w:spacing w:line="1000" w:lineRule="exact"/>
        <w:ind w:firstLine="1920" w:firstLineChars="600"/>
        <w:rPr>
          <w:rFonts w:ascii="方正仿宋简体" w:hAnsi="方正仿宋简体" w:eastAsia="方正仿宋简体"/>
          <w:color w:val="auto"/>
          <w:sz w:val="32"/>
          <w:szCs w:val="32"/>
          <w:u w:val="single"/>
        </w:rPr>
      </w:pP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2132965</wp:posOffset>
                </wp:positionH>
                <wp:positionV relativeFrom="paragraph">
                  <wp:posOffset>614680</wp:posOffset>
                </wp:positionV>
                <wp:extent cx="1847850" cy="0"/>
                <wp:effectExtent l="0" t="0" r="0" b="0"/>
                <wp:wrapNone/>
                <wp:docPr id="4" name="直接连接符 4"/>
                <wp:cNvGraphicFramePr/>
                <a:graphic xmlns:a="http://schemas.openxmlformats.org/drawingml/2006/main">
                  <a:graphicData uri="http://schemas.microsoft.com/office/word/2010/wordprocessingShape">
                    <wps:wsp>
                      <wps:cNvCnPr/>
                      <wps:spPr>
                        <a:xfrm>
                          <a:off x="3140710" y="511683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7.95pt;margin-top:48.4pt;height:0pt;width:145.5pt;z-index:251659264;mso-width-relative:page;mso-height-relative:page;" filled="f" stroked="t" coordsize="21600,21600" o:gfxdata="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WVq1gAAAAkBAAAPAAAAAAAAAAEAIAAAACIAAABkcnMvZG93bnJldi54bWxQSwECFAAUAAAA&#10;CACHTuJA+UT44vABAAC9AwAADgAAAAAAAAABACAAAAAlAQAAZHJzL2Uyb0RvYy54bWxQSwUGAAAA&#10;AAYABgBZAQAAhwUAAAAA&#10;">
                <v:fill on="f" focussize="0,0"/>
                <v:stroke weight="0.5pt" color="#000000 [3200]" miterlimit="8" joinstyle="miter"/>
                <v:imagedata o:title=""/>
                <o:lock v:ext="edit" aspectratio="f"/>
              </v:line>
            </w:pict>
          </mc:Fallback>
        </mc:AlternateContent>
      </w:r>
      <w:r>
        <w:rPr>
          <w:rFonts w:hint="eastAsia" w:ascii="方正仿宋简体" w:hAnsi="方正仿宋简体" w:eastAsia="方正仿宋简体"/>
          <w:color w:val="auto"/>
          <w:sz w:val="32"/>
          <w:szCs w:val="32"/>
        </w:rPr>
        <w:t xml:space="preserve">专业名称：  制药技术应用专业 </w:t>
      </w:r>
      <w:r>
        <w:rPr>
          <w:rFonts w:hint="eastAsia" w:ascii="方正仿宋简体" w:hAnsi="方正仿宋简体" w:eastAsia="方正仿宋简体"/>
          <w:color w:val="auto"/>
          <w:sz w:val="32"/>
          <w:szCs w:val="32"/>
          <w:u w:val="single"/>
        </w:rPr>
        <w:t xml:space="preserve">    </w:t>
      </w:r>
      <w:r>
        <w:rPr>
          <w:rFonts w:ascii="方正仿宋简体" w:hAnsi="方正仿宋简体" w:eastAsia="方正仿宋简体"/>
          <w:color w:val="auto"/>
          <w:sz w:val="32"/>
          <w:szCs w:val="32"/>
          <w:u w:val="single"/>
        </w:rPr>
        <w:t xml:space="preserve"> </w:t>
      </w:r>
    </w:p>
    <w:p>
      <w:pPr>
        <w:spacing w:line="1000" w:lineRule="exact"/>
        <w:ind w:firstLine="1920" w:firstLineChars="600"/>
        <w:rPr>
          <w:rFonts w:ascii="方正仿宋简体" w:hAnsi="方正仿宋简体" w:eastAsia="方正仿宋简体"/>
          <w:color w:val="auto"/>
          <w:sz w:val="32"/>
          <w:szCs w:val="32"/>
          <w:u w:val="single"/>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2142490</wp:posOffset>
                </wp:positionH>
                <wp:positionV relativeFrom="paragraph">
                  <wp:posOffset>551180</wp:posOffset>
                </wp:positionV>
                <wp:extent cx="18478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8.7pt;margin-top:43.4pt;height:0pt;width:145.5pt;z-index:251660288;mso-width-relative:page;mso-height-relative:page;" filled="f" stroked="t" coordsize="21600,21600" o:gfxdata="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JqY4p1gAAAAkBAAAP&#10;AAAAAAAAAAEAIAAAACIAAABkcnMvZG93bnJldi54bWxQSwECFAAUAAAACACHTuJAplBU4OEBAACx&#10;AwAADgAAAAAAAAABACAAAAAlAQAAZHJzL2Uyb0RvYy54bWxQSwUGAAAAAAYABgBZAQAAeAUAAAAA&#10;">
                <v:fill on="f" focussize="0,0"/>
                <v:stroke weight="0.5pt" color="#000000 [3200]" miterlimit="8" joinstyle="miter"/>
                <v:imagedata o:title=""/>
                <o:lock v:ext="edit" aspectratio="f"/>
              </v:line>
            </w:pict>
          </mc:Fallback>
        </mc:AlternateContent>
      </w:r>
      <w:r>
        <w:rPr>
          <w:rFonts w:hint="eastAsia" w:ascii="方正仿宋简体" w:hAnsi="方正仿宋简体" w:eastAsia="方正仿宋简体"/>
          <w:color w:val="auto"/>
          <w:sz w:val="32"/>
          <w:szCs w:val="32"/>
        </w:rPr>
        <w:t xml:space="preserve">专业代码：   </w:t>
      </w:r>
      <w:r>
        <w:rPr>
          <w:rFonts w:hint="eastAsia" w:ascii="方正仿宋简体" w:hAnsi="方正仿宋简体" w:eastAsia="方正仿宋简体"/>
          <w:color w:val="auto"/>
          <w:sz w:val="32"/>
          <w:szCs w:val="32"/>
          <w:lang w:val="en-US" w:eastAsia="zh-CN"/>
        </w:rPr>
        <w:t>6</w:t>
      </w:r>
      <w:r>
        <w:rPr>
          <w:rFonts w:hint="eastAsia" w:ascii="方正仿宋简体" w:hAnsi="方正仿宋简体" w:eastAsia="方正仿宋简体"/>
          <w:color w:val="auto"/>
          <w:sz w:val="32"/>
          <w:szCs w:val="32"/>
        </w:rPr>
        <w:t>90201</w:t>
      </w:r>
      <w:r>
        <w:rPr>
          <w:rFonts w:hint="eastAsia" w:ascii="方正仿宋简体" w:hAnsi="方正仿宋简体" w:eastAsia="方正仿宋简体"/>
          <w:color w:val="auto"/>
          <w:sz w:val="32"/>
          <w:szCs w:val="32"/>
          <w:u w:val="single"/>
        </w:rPr>
        <w:t xml:space="preserve">  </w:t>
      </w:r>
      <w:r>
        <w:rPr>
          <w:rFonts w:ascii="方正仿宋简体" w:hAnsi="方正仿宋简体" w:eastAsia="方正仿宋简体"/>
          <w:color w:val="auto"/>
          <w:sz w:val="32"/>
          <w:szCs w:val="32"/>
          <w:u w:val="single"/>
        </w:rPr>
        <w:t xml:space="preserve">     </w:t>
      </w:r>
    </w:p>
    <w:p>
      <w:pPr>
        <w:spacing w:line="1000" w:lineRule="exact"/>
        <w:ind w:firstLine="1920" w:firstLineChars="600"/>
        <w:rPr>
          <w:rFonts w:ascii="方正仿宋简体" w:hAnsi="方正仿宋简体" w:eastAsia="方正仿宋简体"/>
          <w:color w:val="auto"/>
          <w:sz w:val="32"/>
          <w:szCs w:val="32"/>
          <w:u w:val="single"/>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2132965</wp:posOffset>
                </wp:positionH>
                <wp:positionV relativeFrom="paragraph">
                  <wp:posOffset>592455</wp:posOffset>
                </wp:positionV>
                <wp:extent cx="18478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7.95pt;margin-top:46.65pt;height:0pt;width:145.5pt;z-index:251661312;mso-width-relative:page;mso-height-relative:page;" filled="f" stroked="t" coordsize="21600,21600" o:gfxdata="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wd+xHWAAAACQEAAA8A&#10;AAAAAAAAAQAgAAAAIgAAAGRycy9kb3ducmV2LnhtbFBLAQIUABQAAAAIAIdO4kBpZwZO4AEAALED&#10;AAAOAAAAAAAAAAEAIAAAACUBAABkcnMvZTJvRG9jLnhtbFBLBQYAAAAABgAGAFkBAAB3BQAAAAA=&#10;">
                <v:fill on="f" focussize="0,0"/>
                <v:stroke weight="0.5pt" color="#000000 [3200]" miterlimit="8" joinstyle="miter"/>
                <v:imagedata o:title=""/>
                <o:lock v:ext="edit" aspectratio="f"/>
              </v:line>
            </w:pict>
          </mc:Fallback>
        </mc:AlternateContent>
      </w:r>
      <w:r>
        <w:rPr>
          <w:rFonts w:hint="eastAsia" w:ascii="方正仿宋简体" w:hAnsi="方正仿宋简体" w:eastAsia="方正仿宋简体"/>
          <w:color w:val="auto"/>
          <w:sz w:val="32"/>
          <w:szCs w:val="32"/>
        </w:rPr>
        <w:t>所属系部：  制药专业部</w:t>
      </w:r>
      <w:r>
        <w:rPr>
          <w:rFonts w:ascii="方正仿宋简体" w:hAnsi="方正仿宋简体" w:eastAsia="方正仿宋简体"/>
          <w:color w:val="auto"/>
          <w:sz w:val="32"/>
          <w:szCs w:val="32"/>
          <w:u w:val="single"/>
        </w:rPr>
        <w:t xml:space="preserve">  </w:t>
      </w:r>
    </w:p>
    <w:p>
      <w:pPr>
        <w:spacing w:line="1000" w:lineRule="exact"/>
        <w:ind w:firstLine="1920" w:firstLineChars="600"/>
        <w:rPr>
          <w:rFonts w:ascii="方正仿宋简体" w:hAnsi="方正仿宋简体" w:eastAsia="方正仿宋简体"/>
          <w:color w:val="auto"/>
          <w:sz w:val="32"/>
          <w:szCs w:val="32"/>
          <w:u w:val="single"/>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2132965</wp:posOffset>
                </wp:positionH>
                <wp:positionV relativeFrom="paragraph">
                  <wp:posOffset>567055</wp:posOffset>
                </wp:positionV>
                <wp:extent cx="18478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7.95pt;margin-top:44.65pt;height:0pt;width:145.5pt;z-index:251662336;mso-width-relative:page;mso-height-relative:page;" filled="f" stroked="t" coordsize="21600,21600" o:gfxdata="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RotS1gAAAAkBAAAP&#10;AAAAAAAAAAEAIAAAACIAAABkcnMvZG93bnJldi54bWxQSwECFAAUAAAACACHTuJAE4gYneEBAACx&#10;AwAADgAAAAAAAAABACAAAAAlAQAAZHJzL2Uyb0RvYy54bWxQSwUGAAAAAAYABgBZAQAAeAUAAAAA&#10;">
                <v:fill on="f" focussize="0,0"/>
                <v:stroke weight="0.5pt" color="#000000 [3200]" miterlimit="8" joinstyle="miter"/>
                <v:imagedata o:title=""/>
                <o:lock v:ext="edit" aspectratio="f"/>
              </v:line>
            </w:pict>
          </mc:Fallback>
        </mc:AlternateContent>
      </w:r>
      <w:r>
        <w:rPr>
          <w:rFonts w:hint="eastAsia" w:ascii="方正仿宋简体" w:hAnsi="方正仿宋简体" w:eastAsia="方正仿宋简体"/>
          <w:color w:val="auto"/>
          <w:sz w:val="32"/>
          <w:szCs w:val="32"/>
        </w:rPr>
        <w:t>修订时间：  202</w:t>
      </w:r>
      <w:r>
        <w:rPr>
          <w:rFonts w:hint="eastAsia" w:ascii="方正仿宋简体" w:hAnsi="方正仿宋简体" w:eastAsia="方正仿宋简体"/>
          <w:color w:val="auto"/>
          <w:sz w:val="32"/>
          <w:szCs w:val="32"/>
          <w:lang w:val="en-US" w:eastAsia="zh-CN"/>
        </w:rPr>
        <w:t>2</w:t>
      </w:r>
      <w:r>
        <w:rPr>
          <w:rFonts w:hint="eastAsia" w:ascii="方正仿宋简体" w:hAnsi="方正仿宋简体" w:eastAsia="方正仿宋简体"/>
          <w:color w:val="auto"/>
          <w:sz w:val="32"/>
          <w:szCs w:val="32"/>
        </w:rPr>
        <w:t>年</w:t>
      </w:r>
      <w:r>
        <w:rPr>
          <w:rFonts w:ascii="方正仿宋简体" w:hAnsi="方正仿宋简体" w:eastAsia="方正仿宋简体"/>
          <w:color w:val="auto"/>
          <w:sz w:val="32"/>
          <w:szCs w:val="32"/>
        </w:rPr>
        <w:t>8</w:t>
      </w:r>
      <w:r>
        <w:rPr>
          <w:rFonts w:hint="eastAsia" w:ascii="方正仿宋简体" w:hAnsi="方正仿宋简体" w:eastAsia="方正仿宋简体"/>
          <w:color w:val="auto"/>
          <w:sz w:val="32"/>
          <w:szCs w:val="32"/>
        </w:rPr>
        <w:t>月</w:t>
      </w:r>
      <w:r>
        <w:rPr>
          <w:rFonts w:hint="eastAsia" w:ascii="方正仿宋简体" w:hAnsi="方正仿宋简体" w:eastAsia="方正仿宋简体"/>
          <w:color w:val="auto"/>
          <w:sz w:val="32"/>
          <w:szCs w:val="32"/>
          <w:u w:val="single"/>
        </w:rPr>
        <w:t xml:space="preserve"> </w:t>
      </w:r>
      <w:r>
        <w:rPr>
          <w:rFonts w:ascii="方正仿宋简体" w:hAnsi="方正仿宋简体" w:eastAsia="方正仿宋简体"/>
          <w:color w:val="auto"/>
          <w:sz w:val="32"/>
          <w:szCs w:val="32"/>
          <w:u w:val="single"/>
        </w:rPr>
        <w:t xml:space="preserve"> </w:t>
      </w:r>
    </w:p>
    <w:p>
      <w:pPr>
        <w:spacing w:line="360" w:lineRule="auto"/>
        <w:jc w:val="center"/>
        <w:rPr>
          <w:rFonts w:ascii="宋体" w:hAnsi="宋体" w:cs="宋体"/>
          <w:b/>
          <w:color w:val="auto"/>
          <w:sz w:val="44"/>
          <w:szCs w:val="44"/>
        </w:rPr>
      </w:pPr>
    </w:p>
    <w:p>
      <w:pPr>
        <w:spacing w:line="360" w:lineRule="auto"/>
        <w:jc w:val="center"/>
        <w:rPr>
          <w:rFonts w:ascii="宋体" w:hAnsi="宋体" w:cs="宋体"/>
          <w:b/>
          <w:color w:val="auto"/>
          <w:sz w:val="44"/>
          <w:szCs w:val="44"/>
        </w:rPr>
      </w:pPr>
    </w:p>
    <w:p>
      <w:pPr>
        <w:spacing w:line="360" w:lineRule="auto"/>
        <w:jc w:val="center"/>
        <w:rPr>
          <w:rFonts w:ascii="宋体" w:hAnsi="宋体" w:cs="宋体"/>
          <w:b/>
          <w:color w:val="auto"/>
          <w:sz w:val="44"/>
          <w:szCs w:val="44"/>
        </w:rPr>
      </w:pPr>
    </w:p>
    <w:p>
      <w:pPr>
        <w:spacing w:line="360" w:lineRule="auto"/>
        <w:jc w:val="center"/>
        <w:rPr>
          <w:rFonts w:ascii="宋体" w:hAnsi="宋体" w:cs="宋体"/>
          <w:b/>
          <w:color w:val="auto"/>
          <w:sz w:val="44"/>
          <w:szCs w:val="44"/>
        </w:rPr>
      </w:pPr>
    </w:p>
    <w:p>
      <w:pPr>
        <w:spacing w:line="360" w:lineRule="auto"/>
        <w:jc w:val="center"/>
        <w:rPr>
          <w:rFonts w:ascii="宋体" w:hAnsi="宋体" w:cs="宋体"/>
          <w:b/>
          <w:color w:val="auto"/>
          <w:sz w:val="44"/>
          <w:szCs w:val="44"/>
        </w:rPr>
      </w:pPr>
    </w:p>
    <w:p>
      <w:pPr>
        <w:spacing w:line="360" w:lineRule="auto"/>
        <w:jc w:val="center"/>
        <w:rPr>
          <w:rFonts w:ascii="宋体" w:hAnsi="宋体" w:cs="宋体"/>
          <w:b/>
          <w:color w:val="auto"/>
          <w:sz w:val="44"/>
          <w:szCs w:val="44"/>
        </w:rPr>
      </w:pPr>
    </w:p>
    <w:p>
      <w:pPr>
        <w:spacing w:line="360" w:lineRule="auto"/>
        <w:jc w:val="center"/>
        <w:rPr>
          <w:rFonts w:hint="eastAsia" w:ascii="方正小标宋简体" w:hAnsi="方正小标宋简体" w:eastAsia="方正小标宋简体" w:cs="方正小标宋简体"/>
          <w:b/>
          <w:color w:val="auto"/>
          <w:sz w:val="44"/>
          <w:szCs w:val="44"/>
        </w:rPr>
      </w:pPr>
    </w:p>
    <w:p>
      <w:pPr>
        <w:spacing w:line="360" w:lineRule="auto"/>
        <w:jc w:val="center"/>
        <w:rPr>
          <w:rFonts w:hint="eastAsia" w:ascii="方正小标宋简体" w:hAnsi="方正小标宋简体" w:eastAsia="方正小标宋简体" w:cs="方正小标宋简体"/>
          <w:b/>
          <w:color w:val="auto"/>
          <w:sz w:val="44"/>
          <w:szCs w:val="44"/>
        </w:rPr>
      </w:pPr>
    </w:p>
    <w:p>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sz w:val="44"/>
          <w:szCs w:val="44"/>
        </w:rPr>
        <w:t>制药技术应用专业人才培养方案</w:t>
      </w:r>
      <w:bookmarkEnd w:id="0"/>
      <w:bookmarkEnd w:id="1"/>
      <w:bookmarkEnd w:id="2"/>
    </w:p>
    <w:p>
      <w:pPr>
        <w:overflowPunct w:val="0"/>
        <w:adjustRightInd w:val="0"/>
        <w:spacing w:line="560" w:lineRule="exact"/>
        <w:ind w:firstLine="640" w:firstLineChars="200"/>
        <w:outlineLvl w:val="0"/>
        <w:rPr>
          <w:rFonts w:eastAsia="黑体"/>
          <w:color w:val="auto"/>
          <w:sz w:val="32"/>
          <w:szCs w:val="32"/>
        </w:rPr>
      </w:pPr>
      <w:r>
        <w:rPr>
          <w:rFonts w:hint="eastAsia" w:eastAsia="黑体"/>
          <w:color w:val="auto"/>
          <w:sz w:val="32"/>
          <w:szCs w:val="32"/>
        </w:rPr>
        <w:t>一、专业概述</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举例：为适应医药产业优化升级需要，对接医药产业高端化、集约化、规模化发展新趋势，对接新产业 、新业态、新模式下药物制剂生产、药物制剂设备使用与维护、药物制剂质量控制等岗位群的新要求，不断满足医药产业高质量发展对高素质劳动者和技术技能人才的需求，推动职业教育专业升级和数字化改造，提高人才培养质量，遵循推进职业教育高质量发展的总体要求，参照国家相关标准编制要求，制订本方案。</w:t>
      </w:r>
    </w:p>
    <w:p>
      <w:pPr>
        <w:overflowPunct w:val="0"/>
        <w:adjustRightInd w:val="0"/>
        <w:spacing w:line="560" w:lineRule="exact"/>
        <w:ind w:firstLine="640" w:firstLineChars="200"/>
        <w:outlineLvl w:val="0"/>
        <w:rPr>
          <w:rFonts w:eastAsia="黑体"/>
          <w:color w:val="auto"/>
          <w:sz w:val="32"/>
          <w:szCs w:val="32"/>
        </w:rPr>
      </w:pPr>
      <w:r>
        <w:rPr>
          <w:rFonts w:hint="eastAsia" w:eastAsia="黑体"/>
          <w:color w:val="auto"/>
          <w:sz w:val="32"/>
          <w:szCs w:val="32"/>
        </w:rPr>
        <w:t>二</w:t>
      </w:r>
      <w:r>
        <w:rPr>
          <w:rFonts w:eastAsia="黑体"/>
          <w:color w:val="auto"/>
          <w:sz w:val="32"/>
          <w:szCs w:val="32"/>
        </w:rPr>
        <w:t>、专业名称及代码</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专业名称：制药技术应用</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专业代码：</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90201</w:t>
      </w:r>
    </w:p>
    <w:p>
      <w:pPr>
        <w:overflowPunct w:val="0"/>
        <w:adjustRightInd w:val="0"/>
        <w:spacing w:line="560" w:lineRule="exact"/>
        <w:ind w:firstLine="640" w:firstLineChars="200"/>
        <w:outlineLvl w:val="0"/>
        <w:rPr>
          <w:rFonts w:eastAsia="黑体"/>
          <w:color w:val="auto"/>
          <w:sz w:val="32"/>
          <w:szCs w:val="32"/>
        </w:rPr>
      </w:pPr>
      <w:r>
        <w:rPr>
          <w:rFonts w:hint="eastAsia" w:eastAsia="黑体"/>
          <w:color w:val="auto"/>
          <w:sz w:val="32"/>
          <w:szCs w:val="32"/>
        </w:rPr>
        <w:t>三</w:t>
      </w:r>
      <w:r>
        <w:rPr>
          <w:rFonts w:eastAsia="黑体"/>
          <w:color w:val="auto"/>
          <w:sz w:val="32"/>
          <w:szCs w:val="32"/>
        </w:rPr>
        <w:t>、入学要求</w:t>
      </w:r>
    </w:p>
    <w:p>
      <w:pPr>
        <w:overflowPunct w:val="0"/>
        <w:adjustRightInd w:val="0"/>
        <w:spacing w:line="560" w:lineRule="exact"/>
        <w:ind w:firstLine="1280" w:firstLineChars="400"/>
        <w:rPr>
          <w:rFonts w:ascii="仿宋" w:hAnsi="仿宋" w:eastAsia="仿宋" w:cs="仿宋"/>
          <w:color w:val="auto"/>
          <w:sz w:val="32"/>
          <w:szCs w:val="32"/>
        </w:rPr>
      </w:pPr>
      <w:r>
        <w:rPr>
          <w:rFonts w:hint="eastAsia" w:ascii="仿宋" w:hAnsi="仿宋" w:eastAsia="仿宋" w:cs="仿宋"/>
          <w:color w:val="auto"/>
          <w:sz w:val="32"/>
          <w:szCs w:val="32"/>
        </w:rPr>
        <w:t>初中毕业生或具有同等学力者。</w:t>
      </w:r>
    </w:p>
    <w:p>
      <w:pPr>
        <w:overflowPunct w:val="0"/>
        <w:adjustRightInd w:val="0"/>
        <w:spacing w:line="560" w:lineRule="exact"/>
        <w:ind w:firstLine="640" w:firstLineChars="200"/>
        <w:outlineLvl w:val="0"/>
        <w:rPr>
          <w:rFonts w:eastAsia="黑体"/>
          <w:color w:val="auto"/>
          <w:sz w:val="32"/>
          <w:szCs w:val="32"/>
        </w:rPr>
      </w:pPr>
      <w:r>
        <w:rPr>
          <w:rFonts w:hint="eastAsia" w:eastAsia="黑体"/>
          <w:color w:val="auto"/>
          <w:sz w:val="32"/>
          <w:szCs w:val="32"/>
        </w:rPr>
        <w:t>四</w:t>
      </w:r>
      <w:r>
        <w:rPr>
          <w:rFonts w:eastAsia="黑体"/>
          <w:color w:val="auto"/>
          <w:sz w:val="32"/>
          <w:szCs w:val="32"/>
        </w:rPr>
        <w:t>、修业年限</w:t>
      </w:r>
    </w:p>
    <w:p>
      <w:pPr>
        <w:spacing w:line="560" w:lineRule="exact"/>
        <w:ind w:firstLine="1280" w:firstLineChars="400"/>
        <w:rPr>
          <w:rFonts w:ascii="仿宋" w:hAnsi="仿宋" w:eastAsia="仿宋" w:cs="Times New Roman"/>
          <w:color w:val="auto"/>
          <w:sz w:val="32"/>
          <w:szCs w:val="32"/>
        </w:rPr>
      </w:pPr>
      <w:r>
        <w:rPr>
          <w:rFonts w:hint="eastAsia" w:ascii="仿宋" w:hAnsi="仿宋" w:eastAsia="仿宋" w:cs="Times New Roman"/>
          <w:color w:val="auto"/>
          <w:sz w:val="32"/>
          <w:szCs w:val="32"/>
        </w:rPr>
        <w:t>三年</w:t>
      </w:r>
    </w:p>
    <w:p>
      <w:pPr>
        <w:overflowPunct w:val="0"/>
        <w:adjustRightInd w:val="0"/>
        <w:spacing w:line="560" w:lineRule="exact"/>
        <w:ind w:firstLine="640" w:firstLineChars="200"/>
        <w:outlineLvl w:val="0"/>
        <w:rPr>
          <w:rFonts w:eastAsia="黑体"/>
          <w:color w:val="auto"/>
          <w:sz w:val="32"/>
          <w:szCs w:val="32"/>
        </w:rPr>
      </w:pPr>
      <w:r>
        <w:rPr>
          <w:rFonts w:hint="eastAsia" w:eastAsia="黑体"/>
          <w:color w:val="auto"/>
          <w:sz w:val="32"/>
          <w:szCs w:val="32"/>
        </w:rPr>
        <w:t>五</w:t>
      </w:r>
      <w:r>
        <w:rPr>
          <w:rFonts w:eastAsia="黑体"/>
          <w:color w:val="auto"/>
          <w:sz w:val="32"/>
          <w:szCs w:val="32"/>
        </w:rPr>
        <w:t>、职业面向</w:t>
      </w:r>
    </w:p>
    <w:p>
      <w:pPr>
        <w:spacing w:line="560" w:lineRule="exact"/>
        <w:ind w:firstLine="584"/>
        <w:rPr>
          <w:rFonts w:ascii="仿宋" w:hAnsi="仿宋" w:eastAsia="仿宋" w:cs="Times New Roman"/>
          <w:color w:val="auto"/>
          <w:sz w:val="32"/>
          <w:szCs w:val="32"/>
        </w:rPr>
      </w:pPr>
      <w:r>
        <w:rPr>
          <w:rFonts w:hint="eastAsia" w:ascii="仿宋" w:hAnsi="仿宋" w:eastAsia="仿宋" w:cs="Times New Roman"/>
          <w:color w:val="auto"/>
          <w:sz w:val="32"/>
          <w:szCs w:val="32"/>
        </w:rPr>
        <w:t>举例：本专业的职业面向主要是在医药产业的药物制剂生产、药物制剂设备使用与维护、药物制剂质量控制。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ascii="仿宋" w:hAnsi="仿宋" w:eastAsia="仿宋" w:cs="Times New Roman"/>
                <w:color w:val="auto"/>
                <w:sz w:val="24"/>
              </w:rPr>
            </w:pPr>
            <w:r>
              <w:rPr>
                <w:rFonts w:hint="eastAsia" w:ascii="仿宋" w:hAnsi="仿宋" w:eastAsia="仿宋" w:cs="Times New Roman"/>
                <w:color w:val="auto"/>
                <w:sz w:val="24"/>
              </w:rPr>
              <w:t>所属专业大类</w:t>
            </w:r>
          </w:p>
          <w:p>
            <w:pPr>
              <w:jc w:val="center"/>
              <w:rPr>
                <w:rFonts w:ascii="仿宋" w:hAnsi="仿宋" w:eastAsia="仿宋" w:cs="Times New Roman"/>
                <w:color w:val="auto"/>
                <w:sz w:val="32"/>
                <w:szCs w:val="32"/>
              </w:rPr>
            </w:pPr>
            <w:r>
              <w:rPr>
                <w:rFonts w:hint="eastAsia" w:ascii="仿宋" w:hAnsi="仿宋" w:eastAsia="仿宋" w:cs="Times New Roman"/>
                <w:color w:val="auto"/>
                <w:sz w:val="24"/>
              </w:rPr>
              <w:t>（代码</w:t>
            </w:r>
            <w:r>
              <w:rPr>
                <w:rFonts w:ascii="仿宋" w:hAnsi="仿宋" w:eastAsia="仿宋" w:cs="Times New Roman"/>
                <w:color w:val="auto"/>
                <w:sz w:val="24"/>
              </w:rPr>
              <w:t>）</w:t>
            </w:r>
          </w:p>
        </w:tc>
        <w:tc>
          <w:tcPr>
            <w:tcW w:w="6884" w:type="dxa"/>
          </w:tcPr>
          <w:p>
            <w:pPr>
              <w:spacing w:line="560" w:lineRule="exact"/>
              <w:rPr>
                <w:rFonts w:ascii="仿宋" w:hAnsi="仿宋" w:eastAsia="仿宋" w:cs="Times New Roman"/>
                <w:color w:val="auto"/>
                <w:sz w:val="32"/>
                <w:szCs w:val="32"/>
              </w:rPr>
            </w:pPr>
            <w:r>
              <w:rPr>
                <w:rFonts w:hint="eastAsia" w:ascii="仿宋" w:hAnsi="仿宋" w:eastAsia="仿宋" w:cs="Times New Roman"/>
                <w:color w:val="auto"/>
                <w:sz w:val="24"/>
              </w:rPr>
              <w:t>食品药品与粮食大类（69）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ascii="仿宋" w:hAnsi="仿宋" w:eastAsia="仿宋" w:cs="Times New Roman"/>
                <w:color w:val="auto"/>
                <w:sz w:val="24"/>
              </w:rPr>
            </w:pPr>
            <w:r>
              <w:rPr>
                <w:rFonts w:hint="eastAsia" w:ascii="仿宋" w:hAnsi="仿宋" w:eastAsia="仿宋" w:cs="Times New Roman"/>
                <w:color w:val="auto"/>
                <w:sz w:val="24"/>
              </w:rPr>
              <w:t>所属专业类</w:t>
            </w:r>
          </w:p>
          <w:p>
            <w:pPr>
              <w:jc w:val="center"/>
              <w:rPr>
                <w:rFonts w:ascii="仿宋" w:hAnsi="仿宋" w:eastAsia="仿宋" w:cs="Times New Roman"/>
                <w:color w:val="auto"/>
                <w:sz w:val="32"/>
                <w:szCs w:val="32"/>
              </w:rPr>
            </w:pPr>
            <w:r>
              <w:rPr>
                <w:rFonts w:hint="eastAsia" w:ascii="仿宋" w:hAnsi="仿宋" w:eastAsia="仿宋" w:cs="Times New Roman"/>
                <w:color w:val="auto"/>
                <w:sz w:val="24"/>
              </w:rPr>
              <w:t>（代码）</w:t>
            </w:r>
          </w:p>
        </w:tc>
        <w:tc>
          <w:tcPr>
            <w:tcW w:w="6884" w:type="dxa"/>
          </w:tcPr>
          <w:p>
            <w:pPr>
              <w:spacing w:line="560" w:lineRule="exact"/>
              <w:rPr>
                <w:rFonts w:ascii="仿宋" w:hAnsi="仿宋" w:eastAsia="仿宋" w:cs="Times New Roman"/>
                <w:color w:val="auto"/>
                <w:sz w:val="32"/>
                <w:szCs w:val="32"/>
              </w:rPr>
            </w:pPr>
            <w:r>
              <w:rPr>
                <w:rFonts w:hint="eastAsia" w:ascii="仿宋" w:hAnsi="仿宋" w:eastAsia="仿宋" w:cs="Times New Roman"/>
                <w:color w:val="auto"/>
                <w:sz w:val="24"/>
              </w:rPr>
              <w:t>药品与医疗器械类（6902）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ascii="仿宋" w:hAnsi="仿宋" w:eastAsia="仿宋" w:cs="Times New Roman"/>
                <w:color w:val="auto"/>
                <w:sz w:val="24"/>
              </w:rPr>
            </w:pPr>
            <w:r>
              <w:rPr>
                <w:rFonts w:hint="eastAsia" w:ascii="仿宋" w:hAnsi="仿宋" w:eastAsia="仿宋" w:cs="Times New Roman"/>
                <w:color w:val="auto"/>
                <w:sz w:val="24"/>
              </w:rPr>
              <w:t>对应行业</w:t>
            </w:r>
          </w:p>
          <w:p>
            <w:pPr>
              <w:jc w:val="center"/>
              <w:rPr>
                <w:rFonts w:ascii="仿宋" w:hAnsi="仿宋" w:eastAsia="仿宋" w:cs="Times New Roman"/>
                <w:color w:val="auto"/>
                <w:sz w:val="24"/>
              </w:rPr>
            </w:pPr>
            <w:r>
              <w:rPr>
                <w:rFonts w:hint="eastAsia" w:ascii="仿宋" w:hAnsi="仿宋" w:eastAsia="仿宋" w:cs="Times New Roman"/>
                <w:color w:val="auto"/>
                <w:sz w:val="24"/>
              </w:rPr>
              <w:t>（代码）</w:t>
            </w:r>
          </w:p>
        </w:tc>
        <w:tc>
          <w:tcPr>
            <w:tcW w:w="6884" w:type="dxa"/>
          </w:tcPr>
          <w:p>
            <w:pPr>
              <w:rPr>
                <w:rFonts w:ascii="仿宋" w:hAnsi="仿宋" w:eastAsia="仿宋" w:cs="Times New Roman"/>
                <w:color w:val="auto"/>
                <w:sz w:val="24"/>
              </w:rPr>
            </w:pPr>
            <w:r>
              <w:rPr>
                <w:rFonts w:hint="eastAsia" w:ascii="仿宋" w:hAnsi="仿宋" w:eastAsia="仿宋" w:cs="Times New Roman"/>
                <w:color w:val="auto"/>
                <w:sz w:val="24"/>
              </w:rPr>
              <w:t>医药制造业（27）；批发（51）；零售业（52）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ascii="仿宋" w:hAnsi="仿宋" w:eastAsia="仿宋" w:cs="Times New Roman"/>
                <w:color w:val="auto"/>
                <w:sz w:val="24"/>
              </w:rPr>
            </w:pPr>
            <w:r>
              <w:rPr>
                <w:rFonts w:hint="eastAsia" w:ascii="仿宋" w:hAnsi="仿宋" w:eastAsia="仿宋" w:cs="Times New Roman"/>
                <w:color w:val="auto"/>
                <w:sz w:val="24"/>
              </w:rPr>
              <w:t>主要职业类别（代码）</w:t>
            </w:r>
          </w:p>
        </w:tc>
        <w:tc>
          <w:tcPr>
            <w:tcW w:w="6884" w:type="dxa"/>
          </w:tcPr>
          <w:p>
            <w:pPr>
              <w:rPr>
                <w:rFonts w:ascii="仿宋" w:hAnsi="仿宋" w:eastAsia="仿宋" w:cs="Times New Roman"/>
                <w:color w:val="auto"/>
                <w:sz w:val="24"/>
              </w:rPr>
            </w:pPr>
            <w:r>
              <w:rPr>
                <w:rFonts w:hint="eastAsia" w:ascii="仿宋" w:hAnsi="仿宋" w:eastAsia="仿宋" w:cs="Times New Roman"/>
                <w:color w:val="auto"/>
                <w:sz w:val="24"/>
              </w:rPr>
              <w:t xml:space="preserve"> 药物制剂工（6-14-03-01）； 其他药物制剂人员（6-14-03-99）</w:t>
            </w:r>
          </w:p>
          <w:p>
            <w:pPr>
              <w:rPr>
                <w:rFonts w:ascii="仿宋" w:hAnsi="仿宋" w:eastAsia="仿宋" w:cs="Times New Roman"/>
                <w:color w:val="auto"/>
                <w:sz w:val="24"/>
              </w:rPr>
            </w:pPr>
            <w:r>
              <w:rPr>
                <w:rFonts w:hint="eastAsia" w:ascii="仿宋" w:hAnsi="仿宋" w:eastAsia="仿宋" w:cs="Times New Roman"/>
                <w:color w:val="auto"/>
                <w:sz w:val="24"/>
              </w:rPr>
              <w:t xml:space="preserve"> 其他药品生产人员（6-14-99-00）药物检验工（6-26-01-21）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jc w:val="center"/>
              <w:rPr>
                <w:rFonts w:ascii="仿宋" w:hAnsi="仿宋" w:eastAsia="仿宋" w:cs="Times New Roman"/>
                <w:color w:val="auto"/>
                <w:sz w:val="24"/>
              </w:rPr>
            </w:pPr>
            <w:r>
              <w:rPr>
                <w:rFonts w:hint="eastAsia" w:ascii="仿宋" w:hAnsi="仿宋" w:eastAsia="仿宋" w:cs="Times New Roman"/>
                <w:color w:val="auto"/>
                <w:sz w:val="24"/>
              </w:rPr>
              <w:t>主要岗位类别</w:t>
            </w:r>
          </w:p>
          <w:p>
            <w:pPr>
              <w:jc w:val="center"/>
              <w:rPr>
                <w:rFonts w:ascii="仿宋" w:hAnsi="仿宋" w:eastAsia="仿宋" w:cs="Times New Roman"/>
                <w:color w:val="auto"/>
                <w:sz w:val="24"/>
              </w:rPr>
            </w:pPr>
            <w:r>
              <w:rPr>
                <w:rFonts w:hint="eastAsia" w:ascii="仿宋" w:hAnsi="仿宋" w:eastAsia="仿宋" w:cs="Times New Roman"/>
                <w:color w:val="auto"/>
                <w:sz w:val="24"/>
              </w:rPr>
              <w:t>（或技术领域）</w:t>
            </w:r>
          </w:p>
        </w:tc>
        <w:tc>
          <w:tcPr>
            <w:tcW w:w="6884" w:type="dxa"/>
          </w:tcPr>
          <w:p>
            <w:pPr>
              <w:rPr>
                <w:rFonts w:ascii="仿宋" w:hAnsi="仿宋" w:eastAsia="仿宋" w:cs="Times New Roman"/>
                <w:color w:val="auto"/>
                <w:sz w:val="24"/>
              </w:rPr>
            </w:pPr>
            <w:r>
              <w:rPr>
                <w:rFonts w:hint="eastAsia" w:ascii="仿宋" w:hAnsi="仿宋" w:eastAsia="仿宋" w:cs="Times New Roman"/>
                <w:color w:val="auto"/>
                <w:sz w:val="24"/>
              </w:rPr>
              <w:t>药物制剂生产人员、药物制剂设备使用与维护人员、药物制剂质量控制人员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仿宋" w:hAnsi="仿宋" w:eastAsia="仿宋" w:cs="Times New Roman"/>
                <w:color w:val="auto"/>
                <w:sz w:val="24"/>
              </w:rPr>
            </w:pPr>
            <w:r>
              <w:rPr>
                <w:rFonts w:hint="eastAsia" w:ascii="仿宋" w:hAnsi="仿宋" w:eastAsia="仿宋" w:cs="Times New Roman"/>
                <w:color w:val="auto"/>
                <w:sz w:val="24"/>
              </w:rPr>
              <w:t>职业类证书举例</w:t>
            </w:r>
          </w:p>
        </w:tc>
        <w:tc>
          <w:tcPr>
            <w:tcW w:w="6884" w:type="dxa"/>
          </w:tcPr>
          <w:p>
            <w:pPr>
              <w:rPr>
                <w:rFonts w:ascii="仿宋" w:hAnsi="仿宋" w:eastAsia="仿宋" w:cs="Times New Roman"/>
                <w:color w:val="auto"/>
                <w:sz w:val="24"/>
              </w:rPr>
            </w:pPr>
            <w:r>
              <w:rPr>
                <w:rFonts w:hint="eastAsia" w:ascii="仿宋" w:hAnsi="仿宋" w:eastAsia="仿宋" w:cs="Times New Roman"/>
                <w:color w:val="auto"/>
                <w:sz w:val="24"/>
              </w:rPr>
              <w:t>1+X药物制剂生产职业技能等级证书；</w:t>
            </w:r>
          </w:p>
          <w:p>
            <w:pPr>
              <w:rPr>
                <w:rFonts w:ascii="仿宋" w:hAnsi="仿宋" w:eastAsia="仿宋" w:cs="Times New Roman"/>
                <w:color w:val="auto"/>
                <w:sz w:val="24"/>
              </w:rPr>
            </w:pPr>
            <w:r>
              <w:rPr>
                <w:rFonts w:hint="eastAsia" w:ascii="仿宋" w:hAnsi="仿宋" w:eastAsia="仿宋" w:cs="Times New Roman"/>
                <w:color w:val="auto"/>
                <w:sz w:val="24"/>
              </w:rPr>
              <w:t>1+X药品营销生产职业技能等级证书。</w:t>
            </w:r>
          </w:p>
        </w:tc>
      </w:tr>
    </w:tbl>
    <w:p>
      <w:pPr>
        <w:overflowPunct w:val="0"/>
        <w:adjustRightInd w:val="0"/>
        <w:ind w:firstLine="640" w:firstLineChars="200"/>
        <w:outlineLvl w:val="0"/>
        <w:rPr>
          <w:rFonts w:eastAsia="黑体"/>
          <w:color w:val="auto"/>
          <w:sz w:val="32"/>
          <w:szCs w:val="32"/>
        </w:rPr>
      </w:pPr>
      <w:r>
        <w:rPr>
          <w:rFonts w:hint="eastAsia" w:eastAsia="黑体"/>
          <w:color w:val="auto"/>
          <w:sz w:val="32"/>
          <w:szCs w:val="32"/>
        </w:rPr>
        <w:t>六</w:t>
      </w:r>
      <w:r>
        <w:rPr>
          <w:rFonts w:eastAsia="黑体"/>
          <w:color w:val="auto"/>
          <w:sz w:val="32"/>
          <w:szCs w:val="32"/>
        </w:rPr>
        <w:t>、培养目标与培养规格</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本专业培养能够践行社会主义核心价值观，德智体美劳全面发展，具有良好的科学与人文素养、职业道德和精益求精的工匠精神，扎实的文化基础知识、较强的就业创业能力和学习能力和掌握扎实的科学文化基础和药物制剂设备分析、药物提取、药物检验检测等知识及相关法律法规，具备正确使用药物制剂生产设备、规范完成药物制剂生产、药物制剂质量控制等能力，具有工匠精神和信息素养，能够从事药物制剂生产、药物制剂仪器设备使用与维护、药物检验检测等工作的技术技能人才。</w:t>
      </w:r>
    </w:p>
    <w:p>
      <w:pPr>
        <w:overflowPunct w:val="0"/>
        <w:adjustRightInd w:val="0"/>
        <w:spacing w:line="560" w:lineRule="exact"/>
        <w:ind w:firstLine="643" w:firstLineChars="200"/>
        <w:outlineLvl w:val="0"/>
        <w:rPr>
          <w:rFonts w:eastAsia="楷体_GB2312"/>
          <w:b/>
          <w:color w:val="auto"/>
          <w:sz w:val="32"/>
          <w:szCs w:val="32"/>
        </w:rPr>
      </w:pPr>
      <w:r>
        <w:rPr>
          <w:rFonts w:eastAsia="楷体_GB2312"/>
          <w:b/>
          <w:color w:val="auto"/>
          <w:sz w:val="32"/>
          <w:szCs w:val="32"/>
        </w:rPr>
        <w:t>（二）培养规格</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（依据国家对职业院校学生的综合素质要求、典型工作任务分析，参考职业分类大典中有关职业能力表述。使用“掌握、能够、具有、具备”等词）</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举例：本专业学生应在系统学习本专业知识并完成有关实习实训基础上，全面提升素质、知识、能力（下列分项描述时，要从这三个方面描述），掌握并实际运用岗位（群）需要的专业技术技能，总体上须达到以下要求。</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1．坚定拥护中国共产党领导和中国特色社会主义制度，以习近平新时代中国特色社会主义思想为指导，践行社会主义核心价值观，具有坚定的理想信念、深厚的爱国情感和中华民族自豪感；</w:t>
      </w:r>
    </w:p>
    <w:p>
      <w:pPr>
        <w:spacing w:line="560" w:lineRule="exact"/>
        <w:rPr>
          <w:rFonts w:ascii="仿宋" w:hAnsi="仿宋" w:eastAsia="仿宋" w:cs="仿宋"/>
          <w:color w:val="auto"/>
          <w:sz w:val="32"/>
          <w:szCs w:val="32"/>
        </w:rPr>
      </w:pPr>
      <w:r>
        <w:rPr>
          <w:rFonts w:hint="eastAsia" w:ascii="仿宋" w:hAnsi="仿宋" w:eastAsia="仿宋" w:cs="仿宋"/>
          <w:color w:val="auto"/>
          <w:sz w:val="32"/>
          <w:szCs w:val="32"/>
        </w:rPr>
        <w:t xml:space="preserve"> </w:t>
      </w:r>
      <w:r>
        <w:rPr>
          <w:rFonts w:ascii="仿宋" w:hAnsi="仿宋" w:eastAsia="仿宋" w:cs="仿宋"/>
          <w:color w:val="auto"/>
          <w:sz w:val="32"/>
          <w:szCs w:val="32"/>
        </w:rPr>
        <w:t xml:space="preserve">   2</w:t>
      </w:r>
      <w:r>
        <w:rPr>
          <w:rFonts w:hint="eastAsia" w:ascii="仿宋" w:hAnsi="仿宋" w:eastAsia="仿宋" w:cs="仿宋"/>
          <w:color w:val="auto"/>
          <w:sz w:val="32"/>
          <w:szCs w:val="32"/>
        </w:rPr>
        <w:t>．具有国防观念和国家安全意识，具备强烈的集体主义观念和吃苦耐劳的作风，了解基本的国防知识，掌握初步的军事技能；</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3．能够熟练掌握与本专业从事职业活动相关的国家法律、行业规定，掌握绿色生产、环境保护、安全防护、质量管理等相关知识与技能，了解医药行业的产业文化；</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4．掌握支撑本专业学习和可持续发展必备的化学、语文、数学等文化基础知识，具有良好的科学与人文素养，具备职业生涯规划能力；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5．具有良好的语言表达能力、文字表达能力、沟通合作能力，具有较强的集体意识和团队合作意识，学习一门外语并结合专业加以运用；</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6．掌握化学、化工单元操作、微生物等方面的专业基础知识；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7.掌握药物制剂、药物分析、安全生产、制药设备等方面的专业知识；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8．掌握</w:t>
      </w:r>
      <w:r>
        <w:rPr>
          <w:rFonts w:hint="eastAsia" w:ascii="仿宋" w:hAnsi="仿宋" w:eastAsia="仿宋" w:cs="Times New Roman"/>
          <w:color w:val="auto"/>
          <w:sz w:val="32"/>
          <w:szCs w:val="32"/>
        </w:rPr>
        <w:t>药物制剂生产、药物制剂设备使用与维护、药物制剂质量控制</w:t>
      </w:r>
      <w:r>
        <w:rPr>
          <w:rFonts w:hint="eastAsia" w:ascii="仿宋" w:hAnsi="仿宋" w:eastAsia="仿宋" w:cs="仿宋"/>
          <w:color w:val="auto"/>
          <w:sz w:val="32"/>
          <w:szCs w:val="32"/>
        </w:rPr>
        <w:t>等技术技能，具有实际操作能力；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9.具有适应产业数字化发展需求的基本数字技能，掌握信息技术基础知识、专业信息技术能力，初步掌握医药领域数字化技能，正确记录生产过程并对数据进行分析，实施实验室信息化管理的能力；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10．具有探究学习、终身学习能力，具有一定的分析问题和解决问题的能力；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11．掌握基本身体运动知识和至少</w:t>
      </w:r>
      <w:r>
        <w:rPr>
          <w:rFonts w:ascii="仿宋" w:hAnsi="仿宋" w:eastAsia="仿宋" w:cs="仿宋"/>
          <w:color w:val="auto"/>
          <w:sz w:val="32"/>
          <w:szCs w:val="32"/>
        </w:rPr>
        <w:t>1</w:t>
      </w:r>
      <w:r>
        <w:rPr>
          <w:rFonts w:hint="eastAsia" w:ascii="仿宋" w:hAnsi="仿宋" w:eastAsia="仿宋" w:cs="仿宋"/>
          <w:color w:val="auto"/>
          <w:sz w:val="32"/>
          <w:szCs w:val="32"/>
        </w:rPr>
        <w:t>项体育运动技能，养成良好的运动习惯、卫生习惯和行为习惯；具备一定的心理调适能力；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12．掌握必备的美育知识，具有一定的文化修养、审美能力，形成至少1项艺术特长或爱好；</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13．弘扬劳动光荣、技能宝贵、创造伟大的时代精神，热爱劳动人民、珍惜劳动成果、树立劳动观念、积极投身劳动，具备与本专业职业发展相适应的劳动素养、劳动技能。</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14.具有药物制剂生产技术技能，按药物制剂生产岗位标准操作规程和 GMP进行生产的能力；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15.具有药物制剂设备使用与维护的能力；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16.具有使用药物检验仪器和设备，进行药物制剂检验，控制药物制剂生产质量的能力；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17.具有依据规范要求对生产各环节物料进行处置的能力；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18.具有依据药品管理法、药品生产质量管理规范等法律法规及药事相关标准从事药物制剂职业活动的能力。</w:t>
      </w:r>
    </w:p>
    <w:p>
      <w:pPr>
        <w:overflowPunct w:val="0"/>
        <w:adjustRightInd w:val="0"/>
        <w:spacing w:line="560" w:lineRule="exact"/>
        <w:ind w:firstLine="640" w:firstLineChars="200"/>
        <w:outlineLvl w:val="0"/>
        <w:rPr>
          <w:rFonts w:eastAsia="黑体"/>
          <w:color w:val="auto"/>
          <w:sz w:val="32"/>
          <w:szCs w:val="32"/>
        </w:rPr>
      </w:pPr>
      <w:r>
        <w:rPr>
          <w:rFonts w:hint="eastAsia" w:eastAsia="黑体"/>
          <w:color w:val="auto"/>
          <w:sz w:val="32"/>
          <w:szCs w:val="32"/>
        </w:rPr>
        <w:t>七</w:t>
      </w:r>
      <w:r>
        <w:rPr>
          <w:rFonts w:eastAsia="黑体"/>
          <w:color w:val="auto"/>
          <w:sz w:val="32"/>
          <w:szCs w:val="32"/>
        </w:rPr>
        <w:t>、课程设置及要求</w:t>
      </w:r>
    </w:p>
    <w:p>
      <w:pPr>
        <w:overflowPunct w:val="0"/>
        <w:adjustRightInd w:val="0"/>
        <w:spacing w:line="560" w:lineRule="exact"/>
        <w:ind w:left="740" w:leftChars="200" w:hanging="320" w:hangingChars="100"/>
        <w:outlineLvl w:val="0"/>
        <w:rPr>
          <w:rFonts w:eastAsia="黑体"/>
          <w:color w:val="auto"/>
          <w:sz w:val="32"/>
          <w:szCs w:val="32"/>
        </w:rPr>
      </w:pPr>
      <w:r>
        <w:rPr>
          <w:rFonts w:hint="eastAsia" w:eastAsia="黑体"/>
          <w:color w:val="auto"/>
          <w:sz w:val="32"/>
          <w:szCs w:val="32"/>
        </w:rPr>
        <w:t>（一）公共基础课程</w:t>
      </w:r>
    </w:p>
    <w:p>
      <w:pPr>
        <w:overflowPunct w:val="0"/>
        <w:adjustRightInd w:val="0"/>
        <w:spacing w:line="560" w:lineRule="exact"/>
        <w:ind w:left="630" w:leftChars="300"/>
        <w:outlineLvl w:val="0"/>
        <w:rPr>
          <w:rFonts w:eastAsia="黑体"/>
          <w:color w:val="auto"/>
          <w:sz w:val="32"/>
          <w:szCs w:val="32"/>
        </w:rPr>
      </w:pPr>
      <w:r>
        <w:rPr>
          <w:rFonts w:hint="eastAsia" w:eastAsia="黑体"/>
          <w:color w:val="auto"/>
          <w:sz w:val="32"/>
          <w:szCs w:val="32"/>
        </w:rPr>
        <w:t>1．思想政治</w:t>
      </w:r>
    </w:p>
    <w:p>
      <w:pPr>
        <w:overflowPunct w:val="0"/>
        <w:adjustRightInd w:val="0"/>
        <w:spacing w:line="560" w:lineRule="exact"/>
        <w:ind w:left="630" w:leftChars="300"/>
        <w:outlineLvl w:val="0"/>
        <w:rPr>
          <w:rFonts w:ascii="仿宋" w:hAnsi="仿宋" w:eastAsia="仿宋"/>
          <w:color w:val="auto"/>
          <w:sz w:val="32"/>
          <w:szCs w:val="32"/>
        </w:rPr>
      </w:pPr>
      <w:r>
        <w:rPr>
          <w:rFonts w:hint="eastAsia" w:ascii="仿宋" w:hAnsi="仿宋" w:eastAsia="仿宋"/>
          <w:color w:val="auto"/>
          <w:sz w:val="32"/>
          <w:szCs w:val="32"/>
        </w:rPr>
        <w:t>（1）中国特色社会主义</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本课程</w:t>
      </w:r>
      <w:r>
        <w:rPr>
          <w:rFonts w:ascii="仿宋" w:hAnsi="仿宋" w:eastAsia="仿宋"/>
          <w:color w:val="auto"/>
          <w:sz w:val="32"/>
          <w:szCs w:val="32"/>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 大复兴的奋斗之中</w:t>
      </w:r>
      <w:r>
        <w:rPr>
          <w:rFonts w:hint="eastAsia" w:ascii="仿宋" w:hAnsi="仿宋" w:eastAsia="仿宋"/>
          <w:color w:val="auto"/>
          <w:sz w:val="32"/>
          <w:szCs w:val="32"/>
        </w:rPr>
        <w:t>。</w:t>
      </w:r>
    </w:p>
    <w:p>
      <w:pPr>
        <w:overflowPunct w:val="0"/>
        <w:adjustRightInd w:val="0"/>
        <w:spacing w:line="560" w:lineRule="exact"/>
        <w:ind w:left="630" w:leftChars="300"/>
        <w:outlineLvl w:val="0"/>
        <w:rPr>
          <w:rFonts w:ascii="仿宋" w:hAnsi="仿宋" w:eastAsia="仿宋"/>
          <w:color w:val="auto"/>
          <w:sz w:val="32"/>
          <w:szCs w:val="32"/>
        </w:rPr>
      </w:pPr>
      <w:r>
        <w:rPr>
          <w:rFonts w:hint="eastAsia" w:ascii="仿宋" w:hAnsi="仿宋" w:eastAsia="仿宋"/>
          <w:color w:val="auto"/>
          <w:sz w:val="32"/>
          <w:szCs w:val="32"/>
        </w:rPr>
        <w:t>（2）心理健康与职业生涯</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本课程</w:t>
      </w:r>
      <w:r>
        <w:rPr>
          <w:rFonts w:ascii="仿宋" w:hAnsi="仿宋" w:eastAsia="仿宋"/>
          <w:color w:val="auto"/>
          <w:sz w:val="32"/>
          <w:szCs w:val="32"/>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overflowPunct w:val="0"/>
        <w:adjustRightInd w:val="0"/>
        <w:spacing w:line="560" w:lineRule="exact"/>
        <w:ind w:left="630" w:leftChars="300"/>
        <w:outlineLvl w:val="0"/>
        <w:rPr>
          <w:rFonts w:ascii="仿宋" w:hAnsi="仿宋" w:eastAsia="仿宋"/>
          <w:color w:val="auto"/>
          <w:sz w:val="32"/>
          <w:szCs w:val="32"/>
        </w:rPr>
      </w:pPr>
      <w:r>
        <w:rPr>
          <w:rFonts w:hint="eastAsia" w:ascii="仿宋" w:hAnsi="仿宋" w:eastAsia="仿宋"/>
          <w:color w:val="auto"/>
          <w:sz w:val="32"/>
          <w:szCs w:val="32"/>
        </w:rPr>
        <w:t>（3）哲学与人生</w:t>
      </w:r>
    </w:p>
    <w:p>
      <w:pPr>
        <w:overflowPunct w:val="0"/>
        <w:adjustRightInd w:val="0"/>
        <w:spacing w:line="560" w:lineRule="exact"/>
        <w:ind w:firstLine="640" w:firstLineChars="200"/>
        <w:outlineLvl w:val="0"/>
        <w:rPr>
          <w:rFonts w:ascii="仿宋" w:hAnsi="仿宋" w:eastAsia="仿宋"/>
          <w:color w:val="auto"/>
          <w:sz w:val="32"/>
          <w:szCs w:val="32"/>
        </w:rPr>
      </w:pPr>
      <w:r>
        <w:rPr>
          <w:rFonts w:ascii="仿宋" w:hAnsi="仿宋" w:eastAsia="仿宋"/>
          <w:color w:val="auto"/>
          <w:sz w:val="32"/>
          <w:szCs w:val="32"/>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r>
        <w:rPr>
          <w:rFonts w:hint="eastAsia" w:ascii="仿宋" w:hAnsi="仿宋" w:eastAsia="仿宋"/>
          <w:color w:val="auto"/>
          <w:sz w:val="32"/>
          <w:szCs w:val="32"/>
        </w:rPr>
        <w:t>。</w:t>
      </w:r>
    </w:p>
    <w:p>
      <w:pPr>
        <w:overflowPunct w:val="0"/>
        <w:adjustRightInd w:val="0"/>
        <w:spacing w:line="560" w:lineRule="exact"/>
        <w:ind w:left="630" w:leftChars="300"/>
        <w:outlineLvl w:val="0"/>
        <w:rPr>
          <w:rFonts w:ascii="仿宋" w:hAnsi="仿宋" w:eastAsia="仿宋"/>
          <w:color w:val="auto"/>
          <w:sz w:val="32"/>
          <w:szCs w:val="32"/>
        </w:rPr>
      </w:pPr>
      <w:r>
        <w:rPr>
          <w:rFonts w:hint="eastAsia" w:ascii="仿宋" w:hAnsi="仿宋" w:eastAsia="仿宋"/>
          <w:color w:val="auto"/>
          <w:sz w:val="32"/>
          <w:szCs w:val="32"/>
        </w:rPr>
        <w:t>（4）职业道德与法治</w:t>
      </w:r>
    </w:p>
    <w:p>
      <w:pPr>
        <w:overflowPunct w:val="0"/>
        <w:adjustRightInd w:val="0"/>
        <w:spacing w:line="560" w:lineRule="exact"/>
        <w:ind w:firstLine="640" w:firstLineChars="200"/>
        <w:outlineLvl w:val="0"/>
        <w:rPr>
          <w:rFonts w:ascii="仿宋" w:hAnsi="仿宋" w:eastAsia="仿宋"/>
          <w:color w:val="auto"/>
          <w:sz w:val="32"/>
          <w:szCs w:val="32"/>
        </w:rPr>
      </w:pPr>
      <w:r>
        <w:rPr>
          <w:rFonts w:ascii="仿宋" w:hAnsi="仿宋" w:eastAsia="仿宋"/>
          <w:color w:val="auto"/>
          <w:sz w:val="32"/>
          <w:szCs w:val="32"/>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r>
        <w:rPr>
          <w:rFonts w:hint="eastAsia" w:ascii="仿宋" w:hAnsi="仿宋" w:eastAsia="仿宋"/>
          <w:color w:val="auto"/>
          <w:sz w:val="32"/>
          <w:szCs w:val="32"/>
        </w:rPr>
        <w:t>。</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2．语文</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通过丰富的言语实践，逐步掌握祖国语言文字特点及其运用规律，形成个体的言语经验，在具体的生活、学习、工作等语言运用情境中，正确理解与运用祖国语言文字，进行有效的交流与沟通；通过语言运用，发展直觉思维、形象思维、逻辑思维、辩证思维和创造思维，运用多种思维方式丰富自己对作品的感受和理解，比较、分析、归纳和概括基本的语言现象，准确传递信息、论述观点、表明态度，提升思维的深刻性、敏捷性、灵活性、批判性和创造性等品质；通过阅读优秀作品，口味语言艺术，发现美，体验美，欣赏美，崇尚真善美，提高语言文化鉴别能力，形成正确的审美意识、健康向上的审美情趣与鉴赏品位，提升审美境界，在生活、工作情境中运用口语和书面语表现美，创造美；在学习中，继承和弘扬中华优秀传统文化、革命文化、社会主义先进文化，吸收人类文化知识积累和创新成果，并在学习和工作中拓宽产业文化视野，培育劳动精神，弘扬劳模精神、工匠精神，增强文化自觉和文化自信。取得</w:t>
      </w:r>
      <w:r>
        <w:rPr>
          <w:rFonts w:ascii="仿宋" w:hAnsi="仿宋" w:eastAsia="仿宋"/>
          <w:color w:val="auto"/>
          <w:sz w:val="32"/>
          <w:szCs w:val="32"/>
        </w:rPr>
        <w:t>国家普通话水平测试等级证书</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3．历史</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社会主义建设者和接班人。</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4．数学</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提高学生学习数学的兴趣，增强学好数学 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5．英语</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在义务教育的基础上，进一步激发学生英语学习的兴趣，帮助学生掌握基础知识和基本技能，发展英语学科核心素养，为学生的职业生涯、继续学习和终身发展奠定基础。通过学习与实践，掌握语言特点及其运用规律，发展听、说、读、写等语言技能，正确理解职场中不同类型的语篇信息，就与职业相关的话题进行有效沟通与交流；通过观察、分析、比较等方式，认识口头交流与书面交流的表达特点，感知不同文化背景下思维方式的多样性，理解中西方思维方式的差异，从不同视角观察和认识世界，对事物做出合理评判；通过学习中外优秀文化、拓宽国际视野，形成对外国文化的正确认识、对中华优秀文化的深刻认知及对中外企业文化的客观了解，以开放包容的心态理解多元文化，坚定文化自信，促进文化传播；养成良好的学习习惯，促进语言学习与学习能力的可持续发展。</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6．信息技术</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能取得全国计算等级考试（一级）证书。</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7．体育与健康</w:t>
      </w:r>
    </w:p>
    <w:p>
      <w:pPr>
        <w:overflowPunct w:val="0"/>
        <w:adjustRightInd w:val="0"/>
        <w:spacing w:line="560" w:lineRule="exact"/>
        <w:outlineLvl w:val="0"/>
        <w:rPr>
          <w:rFonts w:ascii="仿宋" w:hAnsi="仿宋" w:eastAsia="仿宋"/>
          <w:color w:val="auto"/>
          <w:sz w:val="32"/>
          <w:szCs w:val="32"/>
        </w:rPr>
      </w:pPr>
      <w:r>
        <w:rPr>
          <w:rFonts w:hint="eastAsia" w:ascii="仿宋" w:hAnsi="仿宋" w:eastAsia="仿宋"/>
          <w:color w:val="auto"/>
          <w:sz w:val="32"/>
          <w:szCs w:val="32"/>
        </w:rPr>
        <w:t xml:space="preserve"> </w:t>
      </w:r>
      <w:r>
        <w:rPr>
          <w:rFonts w:ascii="仿宋" w:hAnsi="仿宋" w:eastAsia="仿宋"/>
          <w:color w:val="auto"/>
          <w:sz w:val="32"/>
          <w:szCs w:val="32"/>
        </w:rPr>
        <w:t xml:space="preserve">   </w:t>
      </w:r>
      <w:r>
        <w:rPr>
          <w:rFonts w:hint="eastAsia" w:ascii="仿宋" w:hAnsi="仿宋" w:eastAsia="仿宋"/>
          <w:color w:val="auto"/>
          <w:sz w:val="32"/>
          <w:szCs w:val="32"/>
        </w:rPr>
        <w:t>通过学习，学生能够喜爱并积极参与体育运动，享受体育 运动的乐趣；学会锻炼身体的科学方法，掌握1</w:t>
      </w:r>
      <w:r>
        <w:rPr>
          <w:rFonts w:ascii="仿宋" w:hAnsi="仿宋" w:eastAsia="仿宋"/>
          <w:color w:val="auto"/>
          <w:sz w:val="32"/>
          <w:szCs w:val="32"/>
        </w:rPr>
        <w:t>-2</w:t>
      </w:r>
      <w:r>
        <w:rPr>
          <w:rFonts w:hint="eastAsia" w:ascii="仿宋" w:hAnsi="仿宋" w:eastAsia="仿宋"/>
          <w:color w:val="auto"/>
          <w:sz w:val="32"/>
          <w:szCs w:val="32"/>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培育学生的运动能力、健康行为和体育精神核心素养。</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8．艺术</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（1）音乐欣赏</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参与音乐鉴赏与实践活动，学习有关知识和技能，认识音乐的基本功能与作用，获得精神愉悦，提高审判情趣和音乐实践能力。了解音乐表现的丰富性和多样性，掌握音乐鉴赏的基本方法，聆听欣赏中外经典作品，理解中国音乐与中华优秀传统文化、革命文化和社会主义先进文化的密切关系，弘扬民族精神和时代精神，尊重世界音乐文化的多样性。了解当代中国最普遍的音乐实践活动方式，丰富音乐实践经验，提高音乐实践能力。结合鉴赏内容开展音乐实践，认识音乐与其他艺术、学科及专业的关联，积极探索音乐在社会生活、生产实践、专业学习和职业发展等方面的应用，激发创新意识，促进专业学习。</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（2）美术欣赏</w:t>
      </w:r>
    </w:p>
    <w:p>
      <w:pPr>
        <w:overflowPunct w:val="0"/>
        <w:adjustRightInd w:val="0"/>
        <w:spacing w:line="560" w:lineRule="exact"/>
        <w:ind w:firstLine="640" w:firstLineChars="200"/>
        <w:outlineLvl w:val="0"/>
        <w:rPr>
          <w:rFonts w:ascii="仿宋" w:hAnsi="仿宋" w:eastAsia="仿宋"/>
          <w:color w:val="auto"/>
          <w:sz w:val="32"/>
          <w:szCs w:val="32"/>
        </w:rPr>
      </w:pPr>
      <w:r>
        <w:rPr>
          <w:rFonts w:ascii="仿宋" w:hAnsi="仿宋" w:eastAsia="仿宋"/>
          <w:color w:val="auto"/>
          <w:sz w:val="32"/>
          <w:szCs w:val="32"/>
        </w:rPr>
        <w:t>通过不同美术类型（绘画、书法、雕塑、工艺、建筑、摄影等）的表现形式与发展演变进程，使学生了解美术的基础知识、技能与原理，熟悉基本审美特征，理解作品的思想情感与人文内涵，感受社会美、自然美和艺术美的统一，提高审美能力。</w:t>
      </w:r>
      <w:r>
        <w:rPr>
          <w:rFonts w:hint="eastAsia" w:ascii="仿宋" w:hAnsi="仿宋" w:eastAsia="仿宋"/>
          <w:color w:val="auto"/>
          <w:sz w:val="32"/>
          <w:szCs w:val="32"/>
        </w:rPr>
        <w:t>了解不同的美术门类，掌握美术鉴赏的基本方法，形成健康的审美情趣；欣赏中国书画、雕塑和建筑等经典作品，理解其与中华优秀传统文化、革命文化和社会主义先进文化的密切关系，弘扬民族精神和时代精神，树立正确的文化观；欣赏外国经典作品，理解世界美术文化的多样性；结合鉴赏内容开展美术实践，认识美术与其他艺术、学科和专业的关联，积极探索美术在社会生活、生产实践、专业学习和职业发展方面的广泛应用，激发创新意识，促进专业学习。</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（3）书法</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了解中国书画基础知识与技法，熟悉中国书画的大致分类。赏析中国书画经典作品，认识中国传统艺术风格，感情中国书画所蕴含的思想情感、审美意趣和民族精神，提高审美能力和文化品位。通过软、硬笔习字练习，掌握楷书、行书的基本运笔与技巧，养成良好的书写习惯，提高书写能力，提升自我修养。</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（4）礼乐修身</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通过学习社交礼仪常识、各种情境的礼仪训练，掌握必备 的礼仪知识和技能，领会礼仪的核心精神，提高艺术审美和鉴赏能力，弘扬中华优秀传统美德，做到知行合一。</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9．劳动教育</w:t>
      </w:r>
    </w:p>
    <w:p>
      <w:pPr>
        <w:overflowPunct w:val="0"/>
        <w:adjustRightInd w:val="0"/>
        <w:spacing w:line="560" w:lineRule="exact"/>
        <w:ind w:firstLine="640" w:firstLineChars="200"/>
        <w:outlineLvl w:val="0"/>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本课程重点讲述劳动精神、劳模精神、工匠精神、劳动组织、劳动安全和劳动法规等方面内容，提高劳动自立自强的意识和能力；增强学生职业荣誉感和责任感，提高职业劳动技能水平，培育学生积极向上的劳动精神和认真负责的劳动态度。。通过课程，让学生学会日常生活劳动，实现自我管理生活；通过校内外公益服务性劳动，做好校园环境秩序维护，运用专业技能为社会、为他人提供相关公益服务，培育社会公德，厚植爱国爱民的情怀；通过参与真实的生产劳动和服务性劳动，增强职业认同感和劳动自豪感，提升创意物化能力，培育不断探索、精益求精、追求卓越的工匠精神和爱岗敬业的劳动态度，</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0</w:t>
      </w:r>
      <w:r>
        <w:rPr>
          <w:rFonts w:hint="eastAsia" w:ascii="仿宋" w:hAnsi="仿宋" w:eastAsia="仿宋"/>
          <w:color w:val="auto"/>
          <w:sz w:val="32"/>
          <w:szCs w:val="32"/>
        </w:rPr>
        <w:t>．军事训练</w:t>
      </w:r>
    </w:p>
    <w:p>
      <w:pPr>
        <w:overflowPunct w:val="0"/>
        <w:adjustRightInd w:val="0"/>
        <w:spacing w:line="560" w:lineRule="exact"/>
        <w:ind w:firstLine="640" w:firstLineChars="200"/>
        <w:outlineLvl w:val="0"/>
        <w:rPr>
          <w:rFonts w:ascii="仿宋" w:hAnsi="仿宋" w:eastAsia="仿宋" w:cs="仿宋"/>
          <w:color w:val="auto"/>
          <w:sz w:val="32"/>
          <w:szCs w:val="32"/>
        </w:rPr>
      </w:pPr>
      <w:r>
        <w:rPr>
          <w:rFonts w:hint="eastAsia" w:ascii="仿宋" w:hAnsi="仿宋" w:eastAsia="仿宋" w:cs="仿宋"/>
          <w:color w:val="auto"/>
          <w:sz w:val="32"/>
          <w:szCs w:val="32"/>
        </w:rPr>
        <w:t>通过军事训练学习基本军事知识，掌握基本军事技能，全面推进素质教育，增强学生的国防观念和国家安全意识，加强学生的组织性和纪律性，培养吃苦耐劳和艰苦朴素的作风，培育爱党爱国爱军情怀，培塑爱国主义、集体主义和革命英雄主义精神。</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1</w:t>
      </w:r>
      <w:r>
        <w:rPr>
          <w:rFonts w:hint="eastAsia" w:ascii="仿宋" w:hAnsi="仿宋" w:eastAsia="仿宋"/>
          <w:color w:val="auto"/>
          <w:sz w:val="32"/>
          <w:szCs w:val="32"/>
        </w:rPr>
        <w:t>．就业指导</w:t>
      </w:r>
    </w:p>
    <w:p>
      <w:pPr>
        <w:overflowPunct w:val="0"/>
        <w:adjustRightInd w:val="0"/>
        <w:spacing w:line="560" w:lineRule="exact"/>
        <w:ind w:firstLine="640" w:firstLineChars="200"/>
        <w:outlineLvl w:val="0"/>
        <w:rPr>
          <w:rFonts w:ascii="仿宋" w:hAnsi="仿宋" w:eastAsia="仿宋" w:cs="仿宋"/>
          <w:color w:val="auto"/>
          <w:sz w:val="32"/>
          <w:szCs w:val="32"/>
        </w:rPr>
      </w:pPr>
      <w:r>
        <w:rPr>
          <w:rFonts w:hint="eastAsia" w:ascii="仿宋" w:hAnsi="仿宋" w:eastAsia="仿宋" w:cs="仿宋"/>
          <w:color w:val="auto"/>
          <w:sz w:val="32"/>
          <w:szCs w:val="32"/>
        </w:rPr>
        <w:t>本课程是中等职业学校学生必修的一门德育课程，旨在对学生进行职业就业指导。其任务是：学生应了解职业、职业素质、职业道德、职业个性、职业选择、职业理想的基本知识与要求，树立正确的职业理想；学会依据社会发展、职业需求和个人特点进行职业生涯设计的方法；增强提高自身全面素质、自主择业、立业创业的自觉性。</w:t>
      </w:r>
    </w:p>
    <w:p>
      <w:pPr>
        <w:overflowPunct w:val="0"/>
        <w:adjustRightInd w:val="0"/>
        <w:spacing w:line="560" w:lineRule="exact"/>
        <w:ind w:firstLine="640" w:firstLineChars="200"/>
        <w:outlineLvl w:val="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2</w:t>
      </w:r>
      <w:r>
        <w:rPr>
          <w:rFonts w:hint="eastAsia" w:ascii="仿宋" w:hAnsi="仿宋" w:eastAsia="仿宋"/>
          <w:color w:val="auto"/>
          <w:sz w:val="32"/>
          <w:szCs w:val="32"/>
        </w:rPr>
        <w:t>．职业能力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课程主要讲述思想政治基础理论、时事政治、科技常识、文学常识、艺术知识、安全常识等内容，提高学生思想道德素质、科学素质、人文素质等综合素质，培养学生理解、交流、科学思维、应用分析、艺术审美等方面的能力，挖掘学生处理事物的能力，提升职业适应性。</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（二）专业基础课程</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1.化学</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w:t>
      </w:r>
      <w:r>
        <w:rPr>
          <w:rFonts w:ascii="仿宋" w:hAnsi="仿宋" w:eastAsia="仿宋"/>
          <w:color w:val="auto"/>
          <w:sz w:val="32"/>
          <w:szCs w:val="32"/>
        </w:rPr>
        <w:t>物质的组成、结构、性质及其变化规律；培养学生的化学学科核心素养，使学生获得必备的化学基础知识、基本技能和基本方法，认识物质变化规律，养成发现、分析、解决化学相关问题的能力；培养学生精益求精的工匠精神、严谨求实的科学态度和勇于开拓的创新意识；引领学生逐步形成正确的世界观、人生观和价值观，自觉践行社会主义核心价值观，成为德智体美劳全面发展的高素质劳动者和技术技能人才</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2.化工生产单元操作</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本课程主要讲述生产过程中常见的单元操作过程及设备，使学生学习各种操作的基本原理、典型设备的构造和性能，培养学生工程观点与核心实践技能的重要课程，</w:t>
      </w:r>
      <w:r>
        <w:rPr>
          <w:rFonts w:ascii="仿宋" w:hAnsi="仿宋" w:eastAsia="仿宋"/>
          <w:color w:val="auto"/>
          <w:sz w:val="32"/>
          <w:szCs w:val="32"/>
        </w:rPr>
        <w:t>培养学生精益求精的工匠精神、严谨求实的科学态度和勇于开拓的创新意识</w:t>
      </w:r>
      <w:r>
        <w:rPr>
          <w:rFonts w:hint="eastAsia" w:ascii="仿宋" w:hAnsi="仿宋" w:eastAsia="仿宋"/>
          <w:color w:val="auto"/>
          <w:sz w:val="32"/>
          <w:szCs w:val="32"/>
        </w:rPr>
        <w:t>，具备运用工程观点解决制药生产中实际问题的基础能力。</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3.微生物基础</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w:t>
      </w:r>
      <w:r>
        <w:rPr>
          <w:rFonts w:ascii="仿宋" w:hAnsi="仿宋" w:eastAsia="仿宋"/>
          <w:color w:val="auto"/>
          <w:sz w:val="32"/>
          <w:szCs w:val="32"/>
        </w:rPr>
        <w:t>微生物基础理论</w:t>
      </w:r>
      <w:r>
        <w:rPr>
          <w:rFonts w:hint="eastAsia" w:ascii="仿宋" w:hAnsi="仿宋" w:eastAsia="仿宋"/>
          <w:color w:val="auto"/>
          <w:sz w:val="32"/>
          <w:szCs w:val="32"/>
        </w:rPr>
        <w:t>，包括</w:t>
      </w:r>
      <w:r>
        <w:rPr>
          <w:rFonts w:ascii="仿宋" w:hAnsi="仿宋" w:eastAsia="仿宋"/>
          <w:color w:val="auto"/>
          <w:sz w:val="32"/>
          <w:szCs w:val="32"/>
        </w:rPr>
        <w:t>各类微生物形态、群体特征、营养、代谢、生长、遗传变异、传染免疫和微生物的生态；掌握微生物实验</w:t>
      </w:r>
      <w:r>
        <w:rPr>
          <w:rFonts w:hint="eastAsia" w:ascii="仿宋" w:hAnsi="仿宋" w:eastAsia="仿宋"/>
          <w:color w:val="auto"/>
          <w:sz w:val="32"/>
          <w:szCs w:val="32"/>
        </w:rPr>
        <w:t>，包括</w:t>
      </w:r>
      <w:r>
        <w:rPr>
          <w:rFonts w:ascii="仿宋" w:hAnsi="仿宋" w:eastAsia="仿宋"/>
          <w:color w:val="auto"/>
          <w:sz w:val="32"/>
          <w:szCs w:val="32"/>
        </w:rPr>
        <w:t>纯培养技术、形态观察及微生物测定及消毒灭菌实验</w:t>
      </w:r>
      <w:r>
        <w:rPr>
          <w:rFonts w:hint="eastAsia" w:ascii="仿宋" w:hAnsi="仿宋" w:eastAsia="仿宋"/>
          <w:color w:val="auto"/>
          <w:sz w:val="32"/>
          <w:szCs w:val="32"/>
        </w:rPr>
        <w:t>，培养学生学生精益求精的工匠精神、严谨求实的科学态度和勇于开拓的创新意识。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5.药事管理与法规</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本课程主要讲述药品的研制、生产、流通、使用、价格及广告等活动相关的事项；新药、中药、现代药、特殊药品的管理， GMP、GSP及药品管理立法，药品的商标、广告、价格等方面的知识，培养学生培养学生运用药事管理相关法规处理各种药学实践中遇到的实际问题的能力；具有从事药品研发、生产、经营、使用等工作的基本能力；培养学生具备保障药品质量及管理的能力。</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（三）专业核心课程</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1.药物制剂技术</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药品生产、工艺技术、配方组成、设备操作、质量控制、GMP实施、药品标准执行、物料流转、质量管理等方面的知识、技能、素质和态度，熟悉常见新剂型的特点及制备方法及原理，培养学生学生精益求精的工匠精神、严谨求实的科学态度和勇于开拓的创新意识。</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2.制药工艺技术</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制药工艺的基础知识、药物合成路线设计的基本方法、反应条件和影响因素及制药工艺优化的方法；使学生熟悉制药工艺规程的作用和制订方法、典型代表药物的生产工艺流程及生产工艺规程，培养学生工程观点与核心实践技能的重要课程，</w:t>
      </w:r>
      <w:r>
        <w:rPr>
          <w:rFonts w:ascii="仿宋" w:hAnsi="仿宋" w:eastAsia="仿宋"/>
          <w:color w:val="auto"/>
          <w:sz w:val="32"/>
          <w:szCs w:val="32"/>
        </w:rPr>
        <w:t>培养学生精益求精的工匠精神、严谨求实的科学态度和勇于开拓的创新意识</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3.药理学</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本课程主要讲述药理学基本知识和基本概念；理解合理用药防治疾病的理论根据，融会贯通；使学生掌握常用药物的作用和临床应用不良反应及防治，培养学生一定的临床合理用药的能力。</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4.药物检测技术</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本课程主要讲述药物检测的基本知识、基本理论、基本分析方法；药物的鉴别、检查和含量测定的基本规律和基本方法；熟悉中国药典的基本组成与正确使用。</w:t>
      </w:r>
      <w:r>
        <w:rPr>
          <w:rFonts w:ascii="仿宋" w:hAnsi="仿宋" w:eastAsia="仿宋"/>
          <w:color w:val="auto"/>
          <w:sz w:val="32"/>
          <w:szCs w:val="32"/>
        </w:rPr>
        <w:t>使学生获得必备的</w:t>
      </w:r>
      <w:r>
        <w:rPr>
          <w:rFonts w:hint="eastAsia" w:ascii="仿宋" w:hAnsi="仿宋" w:eastAsia="仿宋"/>
          <w:color w:val="auto"/>
          <w:sz w:val="32"/>
          <w:szCs w:val="32"/>
        </w:rPr>
        <w:t>药物检测的</w:t>
      </w:r>
      <w:r>
        <w:rPr>
          <w:rFonts w:ascii="仿宋" w:hAnsi="仿宋" w:eastAsia="仿宋"/>
          <w:color w:val="auto"/>
          <w:sz w:val="32"/>
          <w:szCs w:val="32"/>
        </w:rPr>
        <w:t>基础知识、基本技能和基本方法，培养学生精益求精的工匠精神、严谨求实的科学态度和勇于开拓的创新意识</w:t>
      </w:r>
      <w:r>
        <w:rPr>
          <w:rFonts w:hint="eastAsia" w:ascii="仿宋" w:hAnsi="仿宋" w:eastAsia="仿宋"/>
          <w:color w:val="auto"/>
          <w:sz w:val="32"/>
          <w:szCs w:val="32"/>
        </w:rPr>
        <w:t>。</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5.制药设备安装与调试</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制药设备及技术的有关规定、制药设备材料、阀门基本知识及其应用；使学生掌握原料药反应过程设备、药物的分离与提取设备、药物制剂生产设备、口服制剂生产设备原理和特点。培养学生识读和分析制药设备的剖面图与工艺流程图的能力。</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6.制药企业安全生产与健康防护</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w:t>
      </w:r>
      <w:r>
        <w:rPr>
          <w:rFonts w:ascii="仿宋" w:hAnsi="仿宋" w:eastAsia="仿宋"/>
          <w:color w:val="auto"/>
          <w:sz w:val="32"/>
          <w:szCs w:val="32"/>
        </w:rPr>
        <w:t>药品生产中QHSE管理体系的基本概念、术语、基本要素、内容和作用</w:t>
      </w:r>
      <w:r>
        <w:rPr>
          <w:rFonts w:hint="eastAsia" w:ascii="仿宋" w:hAnsi="仿宋" w:eastAsia="仿宋"/>
          <w:color w:val="auto"/>
          <w:sz w:val="32"/>
          <w:szCs w:val="32"/>
        </w:rPr>
        <w:t>；</w:t>
      </w:r>
      <w:r>
        <w:rPr>
          <w:rFonts w:ascii="仿宋" w:hAnsi="仿宋" w:eastAsia="仿宋"/>
          <w:color w:val="auto"/>
          <w:sz w:val="32"/>
          <w:szCs w:val="32"/>
        </w:rPr>
        <w:t>QHSE管理体系建立的程序</w:t>
      </w:r>
      <w:r>
        <w:rPr>
          <w:rFonts w:hint="eastAsia" w:ascii="仿宋" w:hAnsi="仿宋" w:eastAsia="仿宋"/>
          <w:color w:val="auto"/>
          <w:sz w:val="32"/>
          <w:szCs w:val="32"/>
        </w:rPr>
        <w:t>及</w:t>
      </w:r>
      <w:r>
        <w:rPr>
          <w:rFonts w:ascii="仿宋" w:hAnsi="仿宋" w:eastAsia="仿宋"/>
          <w:color w:val="auto"/>
          <w:sz w:val="32"/>
          <w:szCs w:val="32"/>
        </w:rPr>
        <w:t>QHSE操作实务；</w:t>
      </w:r>
      <w:r>
        <w:rPr>
          <w:rFonts w:hint="eastAsia" w:ascii="仿宋" w:hAnsi="仿宋" w:eastAsia="仿宋"/>
          <w:color w:val="auto"/>
          <w:sz w:val="32"/>
          <w:szCs w:val="32"/>
        </w:rPr>
        <w:t>培养学生的</w:t>
      </w:r>
      <w:r>
        <w:rPr>
          <w:rFonts w:ascii="仿宋" w:hAnsi="仿宋" w:eastAsia="仿宋"/>
          <w:color w:val="auto"/>
          <w:sz w:val="32"/>
          <w:szCs w:val="32"/>
        </w:rPr>
        <w:t>安全</w:t>
      </w:r>
      <w:r>
        <w:rPr>
          <w:rFonts w:hint="eastAsia" w:ascii="仿宋" w:hAnsi="仿宋" w:eastAsia="仿宋"/>
          <w:color w:val="auto"/>
          <w:sz w:val="32"/>
          <w:szCs w:val="32"/>
        </w:rPr>
        <w:t>意</w:t>
      </w:r>
      <w:r>
        <w:rPr>
          <w:rFonts w:ascii="仿宋" w:hAnsi="仿宋" w:eastAsia="仿宋"/>
          <w:color w:val="auto"/>
          <w:sz w:val="32"/>
          <w:szCs w:val="32"/>
        </w:rPr>
        <w:t>识和防护技能，以及常见职业病预防和急救；引领学生逐步形成清洁生产</w:t>
      </w:r>
      <w:r>
        <w:rPr>
          <w:rFonts w:hint="eastAsia" w:ascii="仿宋" w:hAnsi="仿宋" w:eastAsia="仿宋"/>
          <w:color w:val="auto"/>
          <w:sz w:val="32"/>
          <w:szCs w:val="32"/>
        </w:rPr>
        <w:t>的理念。</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7.药物化学</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常用药物通用名、化学命名、化学结构、合成方法、理化性质和用途、主要药物类型的构效关系。为药物的贮存、制剂、质量控制和管理提供化学基础。重要药物在体内代谢的化学变化与生物活性的关系，为合理使用药物提供理论基础。各类药物的发展、结构类型和最新进展。新药研究的基本方法。通过本课程的教学，使学生掌握上述有关内容的基础上，为有效、合理使用现有的化学药物提供理论依据，为从事药物制备奠定基础。</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（四）专业拓展课程</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1.药物制剂生产</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课程主要讲述学生药品质量管理应知应会基本知识，具备相关仪器设备的清洁、使用和基本维护能力，物料管理基本能力，能从事口服固体制剂实际生产工作的能力，主要为学生参加药物制剂生产职业技能等级证书进行培训，全面提升药物制剂相关从业人员的职业技能水平。</w:t>
      </w:r>
    </w:p>
    <w:p>
      <w:pPr>
        <w:spacing w:line="560" w:lineRule="exact"/>
        <w:ind w:firstLine="640" w:firstLineChars="200"/>
        <w:rPr>
          <w:rFonts w:ascii="仿宋" w:hAnsi="仿宋" w:eastAsia="仿宋"/>
          <w:color w:val="auto"/>
          <w:sz w:val="32"/>
          <w:szCs w:val="32"/>
        </w:rPr>
      </w:pPr>
      <w:r>
        <w:rPr>
          <w:rFonts w:hint="eastAsia" w:ascii="仿宋" w:hAnsi="仿宋" w:eastAsia="仿宋" w:cs="仿宋"/>
          <w:color w:val="auto"/>
          <w:sz w:val="32"/>
          <w:szCs w:val="32"/>
        </w:rPr>
        <w:t>2.</w:t>
      </w:r>
      <w:r>
        <w:rPr>
          <w:rFonts w:hint="eastAsia" w:ascii="仿宋" w:hAnsi="仿宋" w:eastAsia="仿宋"/>
          <w:color w:val="auto"/>
          <w:sz w:val="32"/>
          <w:szCs w:val="32"/>
        </w:rPr>
        <w:t>职业沟通</w:t>
      </w:r>
    </w:p>
    <w:p>
      <w:pPr>
        <w:spacing w:line="560" w:lineRule="exact"/>
        <w:ind w:firstLine="640" w:firstLineChars="200"/>
        <w:rPr>
          <w:rFonts w:ascii="仿宋" w:hAnsi="仿宋" w:eastAsia="仿宋"/>
          <w:color w:val="auto"/>
          <w:sz w:val="32"/>
          <w:szCs w:val="32"/>
        </w:rPr>
      </w:pPr>
      <w:r>
        <w:rPr>
          <w:rFonts w:ascii="仿宋" w:hAnsi="仿宋" w:eastAsia="仿宋"/>
          <w:color w:val="auto"/>
          <w:sz w:val="32"/>
          <w:szCs w:val="32"/>
        </w:rPr>
        <w:t>本课程主要通过对职业素养概念以及各有关部分的剖析和活动实践，加深学生对职业素养体系的认知，开启美丽的职场人生，让学生进入到快乐的工作氛围中，尽享自在职场，掌握有效沟通的路径，构建和谐职场关系，懂得团队合作的重要性，实现合作共赢，知悉礼仪教养的规范，塑造良好形象，丰富信息处理的方法，成就瑰丽事业，坚定对执行力的贯彻，达成组织目标，提升解决问题的能力，引导职业成功，成就职业梦想，最终打造成具有优良职业素养的新时期工作者。</w:t>
      </w:r>
    </w:p>
    <w:p>
      <w:pPr>
        <w:overflowPunct w:val="0"/>
        <w:adjustRightInd w:val="0"/>
        <w:ind w:firstLine="640" w:firstLineChars="200"/>
        <w:outlineLvl w:val="0"/>
        <w:rPr>
          <w:rFonts w:eastAsia="黑体"/>
          <w:color w:val="auto"/>
          <w:sz w:val="32"/>
          <w:szCs w:val="32"/>
        </w:rPr>
      </w:pPr>
      <w:r>
        <w:rPr>
          <w:rFonts w:hint="eastAsia" w:eastAsia="黑体"/>
          <w:color w:val="auto"/>
          <w:sz w:val="32"/>
          <w:szCs w:val="32"/>
        </w:rPr>
        <w:t>八</w:t>
      </w:r>
      <w:r>
        <w:rPr>
          <w:rFonts w:eastAsia="黑体"/>
          <w:color w:val="auto"/>
          <w:sz w:val="32"/>
          <w:szCs w:val="32"/>
        </w:rPr>
        <w:t>、教学进程总体安排</w:t>
      </w:r>
    </w:p>
    <w:tbl>
      <w:tblPr>
        <w:tblStyle w:val="6"/>
        <w:tblW w:w="9177" w:type="dxa"/>
        <w:tblInd w:w="0" w:type="dxa"/>
        <w:tblLayout w:type="autofit"/>
        <w:tblCellMar>
          <w:top w:w="0" w:type="dxa"/>
          <w:left w:w="108" w:type="dxa"/>
          <w:bottom w:w="0" w:type="dxa"/>
          <w:right w:w="108" w:type="dxa"/>
        </w:tblCellMar>
      </w:tblPr>
      <w:tblGrid>
        <w:gridCol w:w="818"/>
        <w:gridCol w:w="865"/>
        <w:gridCol w:w="2304"/>
        <w:gridCol w:w="436"/>
        <w:gridCol w:w="436"/>
        <w:gridCol w:w="436"/>
        <w:gridCol w:w="436"/>
        <w:gridCol w:w="436"/>
        <w:gridCol w:w="436"/>
        <w:gridCol w:w="928"/>
        <w:gridCol w:w="802"/>
        <w:gridCol w:w="844"/>
      </w:tblGrid>
      <w:tr>
        <w:tblPrEx>
          <w:tblCellMar>
            <w:top w:w="0" w:type="dxa"/>
            <w:left w:w="108" w:type="dxa"/>
            <w:bottom w:w="0" w:type="dxa"/>
            <w:right w:w="108" w:type="dxa"/>
          </w:tblCellMar>
        </w:tblPrEx>
        <w:trPr>
          <w:trHeight w:val="454" w:hRule="atLeast"/>
        </w:trPr>
        <w:tc>
          <w:tcPr>
            <w:tcW w:w="9177" w:type="dxa"/>
            <w:gridSpan w:val="12"/>
            <w:tcBorders>
              <w:top w:val="single" w:color="auto" w:sz="4" w:space="0"/>
              <w:left w:val="single" w:color="auto" w:sz="4" w:space="0"/>
              <w:bottom w:val="single" w:color="auto" w:sz="4" w:space="0"/>
              <w:right w:val="single" w:color="000000" w:sz="4" w:space="0"/>
            </w:tcBorders>
            <w:shd w:val="clear" w:color="000000" w:fill="C0C0C0"/>
            <w:noWrap/>
            <w:vAlign w:val="center"/>
          </w:tcPr>
          <w:p>
            <w:pPr>
              <w:widowControl/>
              <w:jc w:val="center"/>
              <w:rPr>
                <w:rFonts w:ascii="宋体" w:hAnsi="宋体" w:cs="宋体"/>
                <w:color w:val="auto"/>
                <w:kern w:val="0"/>
                <w:sz w:val="24"/>
              </w:rPr>
            </w:pPr>
            <w:r>
              <w:rPr>
                <w:color w:val="auto"/>
              </w:rPr>
              <w:br w:type="page"/>
            </w:r>
            <w:r>
              <w:rPr>
                <w:rFonts w:hint="eastAsia" w:ascii="宋体" w:hAnsi="宋体" w:cs="宋体"/>
                <w:color w:val="auto"/>
                <w:kern w:val="0"/>
                <w:sz w:val="24"/>
              </w:rPr>
              <w:t xml:space="preserve">                            制药技术应用专业                202</w:t>
            </w:r>
            <w:r>
              <w:rPr>
                <w:rFonts w:ascii="宋体" w:hAnsi="宋体" w:cs="宋体"/>
                <w:color w:val="auto"/>
                <w:kern w:val="0"/>
                <w:sz w:val="24"/>
              </w:rPr>
              <w:t>2</w:t>
            </w:r>
            <w:r>
              <w:rPr>
                <w:rFonts w:hint="eastAsia" w:ascii="宋体" w:hAnsi="宋体" w:cs="宋体"/>
                <w:color w:val="auto"/>
                <w:kern w:val="0"/>
                <w:sz w:val="24"/>
              </w:rPr>
              <w:t>年9月</w:t>
            </w:r>
          </w:p>
        </w:tc>
      </w:tr>
      <w:tr>
        <w:tblPrEx>
          <w:tblCellMar>
            <w:top w:w="0" w:type="dxa"/>
            <w:left w:w="108" w:type="dxa"/>
            <w:bottom w:w="0" w:type="dxa"/>
            <w:right w:w="108" w:type="dxa"/>
          </w:tblCellMar>
        </w:tblPrEx>
        <w:trPr>
          <w:trHeight w:val="454" w:hRule="atLeast"/>
        </w:trPr>
        <w:tc>
          <w:tcPr>
            <w:tcW w:w="818" w:type="dxa"/>
            <w:vMerge w:val="restart"/>
            <w:tcBorders>
              <w:top w:val="nil"/>
              <w:left w:val="single" w:color="auto" w:sz="4" w:space="0"/>
              <w:bottom w:val="single" w:color="000000"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865" w:type="dxa"/>
            <w:vMerge w:val="restart"/>
            <w:tcBorders>
              <w:top w:val="nil"/>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序号</w:t>
            </w:r>
          </w:p>
        </w:tc>
        <w:tc>
          <w:tcPr>
            <w:tcW w:w="2304" w:type="dxa"/>
            <w:vMerge w:val="restart"/>
            <w:tcBorders>
              <w:top w:val="nil"/>
              <w:left w:val="single" w:color="auto" w:sz="4" w:space="0"/>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课程名称</w:t>
            </w:r>
          </w:p>
        </w:tc>
        <w:tc>
          <w:tcPr>
            <w:tcW w:w="2616" w:type="dxa"/>
            <w:gridSpan w:val="6"/>
            <w:tcBorders>
              <w:top w:val="single" w:color="auto" w:sz="4" w:space="0"/>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各学期周学时分配</w:t>
            </w:r>
          </w:p>
        </w:tc>
        <w:tc>
          <w:tcPr>
            <w:tcW w:w="928" w:type="dxa"/>
            <w:vMerge w:val="restart"/>
            <w:tcBorders>
              <w:top w:val="nil"/>
              <w:left w:val="single" w:color="auto" w:sz="4" w:space="0"/>
              <w:bottom w:val="single" w:color="000000"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总学时</w:t>
            </w:r>
          </w:p>
        </w:tc>
        <w:tc>
          <w:tcPr>
            <w:tcW w:w="1646" w:type="dxa"/>
            <w:gridSpan w:val="2"/>
            <w:tcBorders>
              <w:top w:val="single" w:color="auto" w:sz="4" w:space="0"/>
              <w:left w:val="nil"/>
              <w:bottom w:val="single" w:color="auto" w:sz="4" w:space="0"/>
              <w:right w:val="single" w:color="000000"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课程类型</w:t>
            </w:r>
          </w:p>
        </w:tc>
      </w:tr>
      <w:tr>
        <w:tblPrEx>
          <w:tblCellMar>
            <w:top w:w="0" w:type="dxa"/>
            <w:left w:w="108" w:type="dxa"/>
            <w:bottom w:w="0" w:type="dxa"/>
            <w:right w:w="108" w:type="dxa"/>
          </w:tblCellMar>
        </w:tblPrEx>
        <w:trPr>
          <w:trHeight w:val="454" w:hRule="atLeast"/>
        </w:trPr>
        <w:tc>
          <w:tcPr>
            <w:tcW w:w="818"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23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72" w:type="dxa"/>
            <w:gridSpan w:val="2"/>
            <w:tcBorders>
              <w:top w:val="single" w:color="auto" w:sz="4" w:space="0"/>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第一学年</w:t>
            </w:r>
          </w:p>
        </w:tc>
        <w:tc>
          <w:tcPr>
            <w:tcW w:w="872" w:type="dxa"/>
            <w:gridSpan w:val="2"/>
            <w:tcBorders>
              <w:top w:val="single" w:color="auto" w:sz="4" w:space="0"/>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第二学年</w:t>
            </w:r>
          </w:p>
        </w:tc>
        <w:tc>
          <w:tcPr>
            <w:tcW w:w="872" w:type="dxa"/>
            <w:gridSpan w:val="2"/>
            <w:tcBorders>
              <w:top w:val="single" w:color="auto" w:sz="4" w:space="0"/>
              <w:left w:val="nil"/>
              <w:bottom w:val="single" w:color="auto" w:sz="4" w:space="0"/>
              <w:right w:val="single" w:color="000000"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第三学年</w:t>
            </w:r>
          </w:p>
        </w:tc>
        <w:tc>
          <w:tcPr>
            <w:tcW w:w="928"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02" w:type="dxa"/>
            <w:vMerge w:val="restart"/>
            <w:tcBorders>
              <w:top w:val="nil"/>
              <w:left w:val="single" w:color="auto" w:sz="4" w:space="0"/>
              <w:bottom w:val="nil"/>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理论</w:t>
            </w:r>
          </w:p>
        </w:tc>
        <w:tc>
          <w:tcPr>
            <w:tcW w:w="844" w:type="dxa"/>
            <w:vMerge w:val="restart"/>
            <w:tcBorders>
              <w:top w:val="nil"/>
              <w:left w:val="single" w:color="auto" w:sz="4" w:space="0"/>
              <w:bottom w:val="nil"/>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lang w:val="en-US" w:eastAsia="zh-CN"/>
              </w:rPr>
              <w:t>实践/实习</w:t>
            </w:r>
          </w:p>
        </w:tc>
      </w:tr>
      <w:tr>
        <w:tblPrEx>
          <w:tblCellMar>
            <w:top w:w="0" w:type="dxa"/>
            <w:left w:w="108" w:type="dxa"/>
            <w:bottom w:w="0" w:type="dxa"/>
            <w:right w:w="108" w:type="dxa"/>
          </w:tblCellMar>
        </w:tblPrEx>
        <w:trPr>
          <w:trHeight w:val="454" w:hRule="atLeast"/>
        </w:trPr>
        <w:tc>
          <w:tcPr>
            <w:tcW w:w="818"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230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436"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一</w:t>
            </w:r>
          </w:p>
        </w:tc>
        <w:tc>
          <w:tcPr>
            <w:tcW w:w="436"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二</w:t>
            </w:r>
          </w:p>
        </w:tc>
        <w:tc>
          <w:tcPr>
            <w:tcW w:w="436"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三</w:t>
            </w:r>
          </w:p>
        </w:tc>
        <w:tc>
          <w:tcPr>
            <w:tcW w:w="436"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四</w:t>
            </w:r>
          </w:p>
        </w:tc>
        <w:tc>
          <w:tcPr>
            <w:tcW w:w="436"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五</w:t>
            </w:r>
          </w:p>
        </w:tc>
        <w:tc>
          <w:tcPr>
            <w:tcW w:w="436" w:type="dxa"/>
            <w:tcBorders>
              <w:top w:val="nil"/>
              <w:left w:val="nil"/>
              <w:bottom w:val="single" w:color="auto" w:sz="4" w:space="0"/>
              <w:right w:val="single" w:color="auto" w:sz="4" w:space="0"/>
            </w:tcBorders>
            <w:shd w:val="clear" w:color="000000" w:fill="C0C0C0"/>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六</w:t>
            </w:r>
          </w:p>
        </w:tc>
        <w:tc>
          <w:tcPr>
            <w:tcW w:w="92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c>
          <w:tcPr>
            <w:tcW w:w="802"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844"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454" w:hRule="atLeast"/>
        </w:trPr>
        <w:tc>
          <w:tcPr>
            <w:tcW w:w="818" w:type="dxa"/>
            <w:tcBorders>
              <w:top w:val="nil"/>
              <w:left w:val="single" w:color="auto" w:sz="4" w:space="0"/>
              <w:bottom w:val="nil"/>
              <w:right w:val="single" w:color="auto" w:sz="4" w:space="0"/>
            </w:tcBorders>
            <w:shd w:val="clear" w:color="auto" w:fill="auto"/>
            <w:textDirection w:val="tbRlV"/>
            <w:vAlign w:val="center"/>
          </w:tcPr>
          <w:p>
            <w:pPr>
              <w:widowControl/>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1</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语文</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216</w:t>
            </w:r>
          </w:p>
        </w:tc>
        <w:tc>
          <w:tcPr>
            <w:tcW w:w="8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216</w:t>
            </w:r>
          </w:p>
        </w:tc>
        <w:tc>
          <w:tcPr>
            <w:tcW w:w="8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54" w:hRule="atLeast"/>
        </w:trPr>
        <w:tc>
          <w:tcPr>
            <w:tcW w:w="818" w:type="dxa"/>
            <w:tcBorders>
              <w:top w:val="nil"/>
              <w:left w:val="single" w:color="auto" w:sz="4" w:space="0"/>
              <w:bottom w:val="nil"/>
              <w:right w:val="single" w:color="auto" w:sz="4" w:space="0"/>
            </w:tcBorders>
            <w:shd w:val="clear" w:color="auto" w:fill="auto"/>
            <w:textDirection w:val="tbRlV"/>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2</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数学</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216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color w:val="auto"/>
              </w:rPr>
            </w:pPr>
            <w:r>
              <w:rPr>
                <w:rFonts w:hint="eastAsia" w:ascii="宋体" w:hAnsi="宋体" w:cs="宋体"/>
                <w:color w:val="auto"/>
                <w:kern w:val="0"/>
                <w:sz w:val="22"/>
                <w:szCs w:val="22"/>
              </w:rPr>
              <w:t>216</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54" w:hRule="atLeast"/>
        </w:trPr>
        <w:tc>
          <w:tcPr>
            <w:tcW w:w="818" w:type="dxa"/>
            <w:tcBorders>
              <w:top w:val="nil"/>
              <w:left w:val="single" w:color="auto" w:sz="4" w:space="0"/>
              <w:bottom w:val="nil"/>
              <w:right w:val="single" w:color="auto" w:sz="4" w:space="0"/>
            </w:tcBorders>
            <w:shd w:val="clear" w:color="auto" w:fill="auto"/>
            <w:textDirection w:val="tbRlV"/>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3</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英语</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216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color w:val="auto"/>
              </w:rPr>
            </w:pPr>
            <w:r>
              <w:rPr>
                <w:rFonts w:hint="eastAsia" w:ascii="宋体" w:hAnsi="宋体" w:cs="宋体"/>
                <w:color w:val="auto"/>
                <w:kern w:val="0"/>
                <w:sz w:val="22"/>
                <w:szCs w:val="22"/>
              </w:rPr>
              <w:t>216</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54" w:hRule="atLeast"/>
        </w:trPr>
        <w:tc>
          <w:tcPr>
            <w:tcW w:w="818" w:type="dxa"/>
            <w:vMerge w:val="restart"/>
            <w:tcBorders>
              <w:top w:val="nil"/>
              <w:left w:val="single" w:color="auto" w:sz="4" w:space="0"/>
              <w:right w:val="single" w:color="auto" w:sz="4" w:space="0"/>
            </w:tcBorders>
            <w:shd w:val="clear" w:color="auto" w:fill="auto"/>
            <w:textDirection w:val="tbRlV"/>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公共基础课</w:t>
            </w: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4</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中国特色社会主义</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5</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心理健康与职业生涯</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6</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哲学与人生</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7</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职业道德与法治</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8</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信息技术</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144</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144</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9</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体育与健康</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180</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180</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10</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音乐欣赏</w:t>
            </w:r>
          </w:p>
          <w:p>
            <w:pPr>
              <w:widowControl/>
              <w:jc w:val="center"/>
              <w:rPr>
                <w:rFonts w:ascii="宋体" w:hAnsi="宋体" w:cs="宋体"/>
                <w:color w:val="auto"/>
                <w:kern w:val="0"/>
                <w:sz w:val="22"/>
                <w:szCs w:val="22"/>
              </w:rPr>
            </w:pPr>
            <w:r>
              <w:rPr>
                <w:rFonts w:hint="eastAsia" w:ascii="宋体" w:hAnsi="宋体" w:cs="宋体"/>
                <w:color w:val="auto"/>
                <w:kern w:val="0"/>
                <w:sz w:val="22"/>
                <w:szCs w:val="22"/>
              </w:rPr>
              <w:t>（礼乐修身）</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2"/>
                <w:szCs w:val="22"/>
              </w:rPr>
              <w:t>36</w:t>
            </w:r>
            <w:r>
              <w:rPr>
                <w:rFonts w:hint="eastAsia" w:ascii="宋体" w:hAnsi="宋体" w:cs="宋体"/>
                <w:color w:val="auto"/>
                <w:kern w:val="0"/>
                <w:sz w:val="24"/>
              </w:rPr>
              <w:t>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11</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美术欣赏（书法）</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12</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劳动教育</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13</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历史</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36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14</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就业指导</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18</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18</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15</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职业能力</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144</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144</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16</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特色德育</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90</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90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p>
        </w:tc>
        <w:tc>
          <w:tcPr>
            <w:tcW w:w="86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 xml:space="preserve"> </w:t>
            </w:r>
            <w:r>
              <w:rPr>
                <w:rFonts w:hint="eastAsia" w:ascii="宋体" w:hAnsi="宋体" w:cs="宋体"/>
                <w:color w:val="auto"/>
                <w:kern w:val="0"/>
                <w:sz w:val="22"/>
                <w:szCs w:val="22"/>
              </w:rPr>
              <w:t>1</w:t>
            </w:r>
            <w:r>
              <w:rPr>
                <w:rFonts w:ascii="宋体" w:hAnsi="宋体" w:cs="宋体"/>
                <w:color w:val="auto"/>
                <w:kern w:val="0"/>
                <w:sz w:val="22"/>
                <w:szCs w:val="22"/>
              </w:rPr>
              <w:t>7</w:t>
            </w:r>
          </w:p>
        </w:tc>
        <w:tc>
          <w:tcPr>
            <w:tcW w:w="230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军事训练</w:t>
            </w: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color w:val="auto"/>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color w:val="auto"/>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color w:val="auto"/>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color w:val="auto"/>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color w:val="auto"/>
                <w:kern w:val="0"/>
                <w:sz w:val="22"/>
                <w:szCs w:val="22"/>
              </w:rPr>
            </w:pPr>
          </w:p>
        </w:tc>
        <w:tc>
          <w:tcPr>
            <w:tcW w:w="436"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color w:val="auto"/>
                <w:kern w:val="0"/>
                <w:sz w:val="22"/>
                <w:szCs w:val="22"/>
              </w:rPr>
            </w:pPr>
          </w:p>
        </w:tc>
        <w:tc>
          <w:tcPr>
            <w:tcW w:w="928"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r>
              <w:rPr>
                <w:rFonts w:ascii="宋体" w:hAnsi="宋体" w:cs="宋体"/>
                <w:color w:val="auto"/>
                <w:kern w:val="0"/>
                <w:sz w:val="22"/>
                <w:szCs w:val="22"/>
              </w:rPr>
              <w:t>6</w:t>
            </w:r>
          </w:p>
        </w:tc>
        <w:tc>
          <w:tcPr>
            <w:tcW w:w="802"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r>
              <w:rPr>
                <w:rFonts w:ascii="宋体" w:hAnsi="宋体" w:cs="宋体"/>
                <w:color w:val="auto"/>
                <w:kern w:val="0"/>
                <w:sz w:val="22"/>
                <w:szCs w:val="22"/>
              </w:rPr>
              <w:t>2</w:t>
            </w:r>
          </w:p>
        </w:tc>
        <w:tc>
          <w:tcPr>
            <w:tcW w:w="844" w:type="dxa"/>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r>
              <w:rPr>
                <w:rFonts w:ascii="宋体" w:hAnsi="宋体" w:cs="宋体"/>
                <w:color w:val="auto"/>
                <w:kern w:val="0"/>
                <w:sz w:val="22"/>
                <w:szCs w:val="22"/>
              </w:rPr>
              <w:t>4</w:t>
            </w:r>
          </w:p>
        </w:tc>
      </w:tr>
      <w:tr>
        <w:tblPrEx>
          <w:tblCellMar>
            <w:top w:w="0" w:type="dxa"/>
            <w:left w:w="108" w:type="dxa"/>
            <w:bottom w:w="0" w:type="dxa"/>
            <w:right w:w="108" w:type="dxa"/>
          </w:tblCellMar>
        </w:tblPrEx>
        <w:trPr>
          <w:trHeight w:val="454" w:hRule="atLeast"/>
        </w:trPr>
        <w:tc>
          <w:tcPr>
            <w:tcW w:w="3987" w:type="dxa"/>
            <w:gridSpan w:val="3"/>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公共基础课小结</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16</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16</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20</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w:t>
            </w:r>
            <w:r>
              <w:rPr>
                <w:rFonts w:ascii="宋体" w:hAnsi="宋体" w:cs="宋体"/>
                <w:color w:val="auto"/>
                <w:kern w:val="0"/>
                <w:sz w:val="22"/>
                <w:szCs w:val="22"/>
              </w:rPr>
              <w:t>68</w:t>
            </w:r>
          </w:p>
        </w:tc>
        <w:tc>
          <w:tcPr>
            <w:tcW w:w="802"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r>
              <w:rPr>
                <w:rFonts w:ascii="宋体" w:hAnsi="宋体" w:cs="宋体"/>
                <w:color w:val="auto"/>
                <w:kern w:val="0"/>
                <w:sz w:val="22"/>
                <w:szCs w:val="22"/>
              </w:rPr>
              <w:t>100</w:t>
            </w:r>
            <w:r>
              <w:rPr>
                <w:rFonts w:hint="eastAsia" w:ascii="宋体" w:hAnsi="宋体" w:cs="宋体"/>
                <w:color w:val="auto"/>
                <w:kern w:val="0"/>
                <w:sz w:val="22"/>
                <w:szCs w:val="22"/>
              </w:rPr>
              <w:t>　</w:t>
            </w:r>
          </w:p>
        </w:tc>
        <w:tc>
          <w:tcPr>
            <w:tcW w:w="844"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r>
              <w:rPr>
                <w:rFonts w:ascii="宋体" w:hAnsi="宋体" w:cs="宋体"/>
                <w:color w:val="auto"/>
                <w:kern w:val="0"/>
                <w:sz w:val="22"/>
                <w:szCs w:val="22"/>
              </w:rPr>
              <w:t>58</w:t>
            </w: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454" w:hRule="atLeast"/>
        </w:trPr>
        <w:tc>
          <w:tcPr>
            <w:tcW w:w="818" w:type="dxa"/>
            <w:vMerge w:val="restart"/>
            <w:tcBorders>
              <w:top w:val="nil"/>
              <w:left w:val="single" w:color="auto" w:sz="4" w:space="0"/>
              <w:right w:val="single" w:color="auto" w:sz="4" w:space="0"/>
            </w:tcBorders>
            <w:shd w:val="clear" w:color="auto" w:fill="auto"/>
            <w:textDirection w:val="tbRlV"/>
            <w:vAlign w:val="center"/>
          </w:tcPr>
          <w:p>
            <w:pPr>
              <w:jc w:val="center"/>
              <w:rPr>
                <w:rFonts w:ascii="宋体" w:hAnsi="宋体" w:cs="宋体"/>
                <w:color w:val="auto"/>
                <w:kern w:val="0"/>
                <w:sz w:val="22"/>
                <w:szCs w:val="22"/>
              </w:rPr>
            </w:pPr>
            <w:r>
              <w:rPr>
                <w:rFonts w:hint="eastAsia" w:ascii="宋体" w:hAnsi="宋体" w:cs="宋体"/>
                <w:color w:val="auto"/>
                <w:kern w:val="0"/>
                <w:sz w:val="22"/>
                <w:szCs w:val="22"/>
              </w:rPr>
              <w:t>专业课</w:t>
            </w: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化学</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144</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72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2"/>
                <w:szCs w:val="22"/>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化工单元操作</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144</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72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分析化学</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微生物基础</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药理学</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auto"/>
                <w:kern w:val="0"/>
                <w:sz w:val="22"/>
                <w:szCs w:val="22"/>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药物检测技术</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72</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jc w:val="center"/>
              <w:rPr>
                <w:rFonts w:ascii="宋体" w:hAnsi="宋体" w:cs="宋体"/>
                <w:color w:val="auto"/>
                <w:kern w:val="0"/>
                <w:sz w:val="22"/>
                <w:szCs w:val="22"/>
                <w:highlight w:val="none"/>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color w:val="auto"/>
                <w:highlight w:val="none"/>
              </w:rPr>
              <w:t>药物制剂技术</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144</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72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72</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textDirection w:val="tbRlV"/>
            <w:vAlign w:val="center"/>
          </w:tcPr>
          <w:p>
            <w:pPr>
              <w:widowControl/>
              <w:jc w:val="center"/>
              <w:rPr>
                <w:rFonts w:ascii="宋体" w:hAnsi="宋体" w:cs="宋体"/>
                <w:color w:val="auto"/>
                <w:kern w:val="0"/>
                <w:sz w:val="22"/>
                <w:szCs w:val="22"/>
                <w:highlight w:val="none"/>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制药设备安装与调试</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72</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36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9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制药工艺</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72</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36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药事管理与法规</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0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color w:val="auto"/>
                <w:highlight w:val="none"/>
              </w:rPr>
            </w:pPr>
            <w:r>
              <w:rPr>
                <w:rFonts w:hint="eastAsia" w:ascii="宋体" w:hAnsi="宋体" w:cs="宋体"/>
                <w:color w:val="auto"/>
                <w:kern w:val="0"/>
                <w:sz w:val="22"/>
                <w:szCs w:val="22"/>
                <w:highlight w:val="none"/>
              </w:rPr>
              <w:t>36</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12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制药企业安全生产与健康防护</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18</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18</w:t>
            </w:r>
          </w:p>
        </w:tc>
      </w:tr>
      <w:tr>
        <w:tblPrEx>
          <w:tblCellMar>
            <w:top w:w="0" w:type="dxa"/>
            <w:left w:w="108" w:type="dxa"/>
            <w:bottom w:w="0" w:type="dxa"/>
            <w:right w:w="108" w:type="dxa"/>
          </w:tblCellMar>
        </w:tblPrEx>
        <w:trPr>
          <w:trHeight w:val="454" w:hRule="atLeast"/>
        </w:trPr>
        <w:tc>
          <w:tcPr>
            <w:tcW w:w="818" w:type="dxa"/>
            <w:vMerge w:val="continue"/>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13　</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职业沟通</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36</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18　</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color w:val="auto"/>
                <w:highlight w:val="none"/>
              </w:rPr>
            </w:pPr>
            <w:r>
              <w:rPr>
                <w:rFonts w:hint="eastAsia" w:ascii="宋体" w:hAnsi="宋体" w:cs="宋体"/>
                <w:color w:val="auto"/>
                <w:kern w:val="0"/>
                <w:sz w:val="22"/>
                <w:szCs w:val="22"/>
                <w:highlight w:val="none"/>
              </w:rPr>
              <w:t>18</w:t>
            </w:r>
          </w:p>
        </w:tc>
      </w:tr>
      <w:tr>
        <w:tblPrEx>
          <w:tblCellMar>
            <w:top w:w="0" w:type="dxa"/>
            <w:left w:w="108" w:type="dxa"/>
            <w:bottom w:w="0" w:type="dxa"/>
            <w:right w:w="108" w:type="dxa"/>
          </w:tblCellMar>
        </w:tblPrEx>
        <w:trPr>
          <w:trHeight w:val="454" w:hRule="atLeast"/>
        </w:trPr>
        <w:tc>
          <w:tcPr>
            <w:tcW w:w="818" w:type="dxa"/>
            <w:tcBorders>
              <w:left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highlight w:val="none"/>
              </w:rPr>
            </w:pPr>
          </w:p>
        </w:tc>
        <w:tc>
          <w:tcPr>
            <w:tcW w:w="8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23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岗位</w:t>
            </w:r>
            <w:r>
              <w:rPr>
                <w:rFonts w:hint="eastAsia" w:ascii="宋体" w:hAnsi="宋体" w:cs="宋体"/>
                <w:color w:val="auto"/>
                <w:kern w:val="0"/>
                <w:sz w:val="22"/>
                <w:szCs w:val="22"/>
                <w:highlight w:val="none"/>
              </w:rPr>
              <w:t>实习</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eastAsiaTheme="minorEastAsia"/>
                <w:color w:val="auto"/>
                <w:kern w:val="0"/>
                <w:sz w:val="22"/>
                <w:szCs w:val="22"/>
                <w:highlight w:val="none"/>
                <w:lang w:val="en-US" w:eastAsia="zh-CN"/>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eastAsiaTheme="minorEastAsia"/>
                <w:color w:val="auto"/>
                <w:kern w:val="0"/>
                <w:sz w:val="22"/>
                <w:szCs w:val="22"/>
                <w:highlight w:val="none"/>
                <w:lang w:val="en-US" w:eastAsia="zh-CN"/>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auto"/>
                <w:kern w:val="0"/>
                <w:sz w:val="22"/>
                <w:szCs w:val="22"/>
                <w:highlight w:val="none"/>
                <w:lang w:val="en-US" w:eastAsia="zh-CN"/>
              </w:rPr>
            </w:pPr>
          </w:p>
        </w:tc>
        <w:tc>
          <w:tcPr>
            <w:tcW w:w="9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540</w:t>
            </w:r>
          </w:p>
        </w:tc>
        <w:tc>
          <w:tcPr>
            <w:tcW w:w="8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0</w:t>
            </w:r>
          </w:p>
        </w:tc>
        <w:tc>
          <w:tcPr>
            <w:tcW w:w="8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540</w:t>
            </w:r>
          </w:p>
        </w:tc>
      </w:tr>
      <w:tr>
        <w:tblPrEx>
          <w:tblCellMar>
            <w:top w:w="0" w:type="dxa"/>
            <w:left w:w="108" w:type="dxa"/>
            <w:bottom w:w="0" w:type="dxa"/>
            <w:right w:w="108" w:type="dxa"/>
          </w:tblCellMar>
        </w:tblPrEx>
        <w:trPr>
          <w:trHeight w:val="454" w:hRule="atLeast"/>
        </w:trPr>
        <w:tc>
          <w:tcPr>
            <w:tcW w:w="3987" w:type="dxa"/>
            <w:gridSpan w:val="3"/>
            <w:tcBorders>
              <w:top w:val="single" w:color="auto" w:sz="4" w:space="0"/>
              <w:left w:val="single" w:color="auto" w:sz="4" w:space="0"/>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专业课小结</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12</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16</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14</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　</w:t>
            </w:r>
          </w:p>
        </w:tc>
        <w:tc>
          <w:tcPr>
            <w:tcW w:w="436"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w:t>
            </w:r>
          </w:p>
        </w:tc>
        <w:tc>
          <w:tcPr>
            <w:tcW w:w="928"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1548</w:t>
            </w:r>
          </w:p>
        </w:tc>
        <w:tc>
          <w:tcPr>
            <w:tcW w:w="802"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468　</w:t>
            </w:r>
          </w:p>
        </w:tc>
        <w:tc>
          <w:tcPr>
            <w:tcW w:w="844" w:type="dxa"/>
            <w:tcBorders>
              <w:top w:val="nil"/>
              <w:left w:val="nil"/>
              <w:bottom w:val="single" w:color="auto" w:sz="4" w:space="0"/>
              <w:right w:val="single" w:color="auto" w:sz="4" w:space="0"/>
            </w:tcBorders>
            <w:shd w:val="clear" w:color="000000" w:fill="D7D7D7" w:themeFill="background1" w:themeFillShade="D8"/>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1044　</w:t>
            </w:r>
          </w:p>
        </w:tc>
      </w:tr>
      <w:tr>
        <w:tblPrEx>
          <w:tblCellMar>
            <w:top w:w="0" w:type="dxa"/>
            <w:left w:w="108" w:type="dxa"/>
            <w:bottom w:w="0" w:type="dxa"/>
            <w:right w:w="108" w:type="dxa"/>
          </w:tblCellMar>
        </w:tblPrEx>
        <w:trPr>
          <w:trHeight w:val="454" w:hRule="atLeast"/>
        </w:trPr>
        <w:tc>
          <w:tcPr>
            <w:tcW w:w="3987" w:type="dxa"/>
            <w:gridSpan w:val="3"/>
            <w:tcBorders>
              <w:top w:val="single" w:color="auto" w:sz="4" w:space="0"/>
              <w:left w:val="single" w:color="auto" w:sz="4" w:space="0"/>
              <w:bottom w:val="single" w:color="auto" w:sz="4" w:space="0"/>
              <w:right w:val="single" w:color="auto" w:sz="4" w:space="0"/>
            </w:tcBorders>
            <w:shd w:val="clear" w:color="000000" w:fill="A4A4A4" w:themeFill="background1" w:themeFillShade="A5"/>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436"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24</w:t>
            </w:r>
          </w:p>
        </w:tc>
        <w:tc>
          <w:tcPr>
            <w:tcW w:w="436"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28</w:t>
            </w:r>
          </w:p>
        </w:tc>
        <w:tc>
          <w:tcPr>
            <w:tcW w:w="436"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w:t>
            </w:r>
          </w:p>
        </w:tc>
        <w:tc>
          <w:tcPr>
            <w:tcW w:w="436"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28</w:t>
            </w:r>
          </w:p>
        </w:tc>
        <w:tc>
          <w:tcPr>
            <w:tcW w:w="436"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26　</w:t>
            </w:r>
          </w:p>
        </w:tc>
        <w:tc>
          <w:tcPr>
            <w:tcW w:w="436"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30</w:t>
            </w:r>
          </w:p>
        </w:tc>
        <w:tc>
          <w:tcPr>
            <w:tcW w:w="928"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3116</w:t>
            </w:r>
          </w:p>
        </w:tc>
        <w:tc>
          <w:tcPr>
            <w:tcW w:w="802"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1568</w:t>
            </w:r>
          </w:p>
        </w:tc>
        <w:tc>
          <w:tcPr>
            <w:tcW w:w="844" w:type="dxa"/>
            <w:tcBorders>
              <w:top w:val="nil"/>
              <w:left w:val="nil"/>
              <w:bottom w:val="single" w:color="auto" w:sz="4" w:space="0"/>
              <w:right w:val="single" w:color="auto" w:sz="4" w:space="0"/>
            </w:tcBorders>
            <w:shd w:val="clear" w:color="000000" w:fill="A4A4A4" w:themeFill="background1" w:themeFillShade="A5"/>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1502　</w:t>
            </w:r>
          </w:p>
        </w:tc>
      </w:tr>
    </w:tbl>
    <w:p>
      <w:pPr>
        <w:overflowPunct w:val="0"/>
        <w:adjustRightInd w:val="0"/>
        <w:spacing w:line="560" w:lineRule="exact"/>
        <w:ind w:firstLine="480" w:firstLineChars="200"/>
        <w:outlineLvl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注：</w:t>
      </w:r>
      <w:r>
        <w:rPr>
          <w:rFonts w:hint="eastAsia" w:ascii="仿宋" w:hAnsi="仿宋" w:eastAsia="仿宋" w:cs="仿宋"/>
          <w:color w:val="auto"/>
          <w:sz w:val="24"/>
          <w:szCs w:val="24"/>
          <w:lang w:val="en-US" w:eastAsia="zh-CN"/>
        </w:rPr>
        <w:t>第四、五</w:t>
      </w:r>
      <w:bookmarkStart w:id="3" w:name="_GoBack"/>
      <w:bookmarkEnd w:id="3"/>
      <w:r>
        <w:rPr>
          <w:rFonts w:hint="eastAsia" w:ascii="仿宋" w:hAnsi="仿宋" w:eastAsia="仿宋" w:cs="仿宋"/>
          <w:color w:val="auto"/>
          <w:sz w:val="24"/>
          <w:szCs w:val="24"/>
          <w:lang w:val="en-US" w:eastAsia="zh-CN"/>
        </w:rPr>
        <w:t>学期学生进行岗位实习。</w:t>
      </w:r>
    </w:p>
    <w:p>
      <w:pPr>
        <w:overflowPunct w:val="0"/>
        <w:adjustRightInd w:val="0"/>
        <w:spacing w:line="56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九、</w:t>
      </w:r>
      <w:r>
        <w:rPr>
          <w:rFonts w:ascii="黑体" w:hAnsi="黑体" w:eastAsia="黑体"/>
          <w:color w:val="auto"/>
          <w:sz w:val="32"/>
          <w:szCs w:val="32"/>
        </w:rPr>
        <w:t>师资队伍</w:t>
      </w:r>
    </w:p>
    <w:p>
      <w:pPr>
        <w:widowControl/>
        <w:shd w:val="clear" w:color="auto" w:fill="FFFFFF"/>
        <w:spacing w:line="560" w:lineRule="exact"/>
        <w:ind w:firstLine="645"/>
        <w:jc w:val="left"/>
        <w:rPr>
          <w:rFonts w:ascii="仿宋" w:hAnsi="仿宋" w:eastAsia="仿宋" w:cs="仿宋"/>
          <w:color w:val="auto"/>
          <w:sz w:val="32"/>
          <w:szCs w:val="32"/>
        </w:rPr>
      </w:pPr>
      <w:r>
        <w:rPr>
          <w:rFonts w:hint="eastAsia" w:ascii="仿宋" w:hAnsi="仿宋" w:eastAsia="仿宋" w:cs="仿宋"/>
          <w:color w:val="auto"/>
          <w:sz w:val="32"/>
          <w:szCs w:val="32"/>
        </w:rPr>
        <w:t>制药专业部现有专任教师49名，其中河北省骨干教师1人、石家庄市学科名师2人、石家庄市骨干教师7人、石家庄市优秀教师5人。教师全部为本科以上学历，其中硕士占比25%，专业课教师拥有执业药师、药物检验工（高级）、分析检验工（二级）等职业资格证书及药物制剂生产、药品购销等“1+X”职业技能等级培训教师证书。</w:t>
      </w:r>
    </w:p>
    <w:p>
      <w:pPr>
        <w:widowControl/>
        <w:shd w:val="clear" w:color="auto" w:fill="FFFFFF"/>
        <w:spacing w:line="560" w:lineRule="exact"/>
        <w:ind w:firstLine="645"/>
        <w:jc w:val="left"/>
        <w:rPr>
          <w:rFonts w:ascii="仿宋" w:hAnsi="仿宋" w:eastAsia="仿宋" w:cs="仿宋"/>
          <w:color w:val="auto"/>
          <w:sz w:val="32"/>
          <w:szCs w:val="32"/>
        </w:rPr>
      </w:pPr>
      <w:r>
        <w:rPr>
          <w:rFonts w:hint="eastAsia" w:ascii="仿宋" w:hAnsi="仿宋" w:eastAsia="仿宋" w:cs="仿宋"/>
          <w:color w:val="auto"/>
          <w:sz w:val="32"/>
          <w:szCs w:val="32"/>
        </w:rPr>
        <w:t>该专业教师曾在全国中职学校信息化教学大赛、全国中职学校教师说课比赛、河北省职业院校信息化教学大赛、河北省中职学校教师技能大赛等活动中获奖，近三年指导学生参加多项全国、省市技能大赛，10余人次荣获技能大赛优秀辅导教师。</w:t>
      </w:r>
    </w:p>
    <w:p>
      <w:pPr>
        <w:overflowPunct w:val="0"/>
        <w:adjustRightInd w:val="0"/>
        <w:spacing w:line="560" w:lineRule="exact"/>
        <w:ind w:firstLine="645"/>
        <w:outlineLvl w:val="0"/>
        <w:rPr>
          <w:rFonts w:ascii="黑体" w:hAnsi="黑体" w:eastAsia="黑体"/>
          <w:b/>
          <w:color w:val="auto"/>
          <w:sz w:val="32"/>
          <w:szCs w:val="32"/>
        </w:rPr>
      </w:pPr>
      <w:r>
        <w:rPr>
          <w:rFonts w:hint="eastAsia" w:ascii="黑体" w:hAnsi="黑体" w:eastAsia="黑体"/>
          <w:b/>
          <w:color w:val="auto"/>
          <w:sz w:val="32"/>
          <w:szCs w:val="32"/>
        </w:rPr>
        <w:t>十、教学条件</w:t>
      </w:r>
    </w:p>
    <w:p>
      <w:pPr>
        <w:overflowPunct w:val="0"/>
        <w:adjustRightInd w:val="0"/>
        <w:spacing w:line="560" w:lineRule="exact"/>
        <w:ind w:firstLine="643" w:firstLineChars="200"/>
        <w:outlineLvl w:val="0"/>
        <w:rPr>
          <w:rFonts w:eastAsia="楷体_GB2312"/>
          <w:b/>
          <w:color w:val="auto"/>
          <w:sz w:val="32"/>
          <w:szCs w:val="32"/>
        </w:rPr>
      </w:pPr>
      <w:r>
        <w:rPr>
          <w:rFonts w:eastAsia="楷体_GB2312"/>
          <w:b/>
          <w:color w:val="auto"/>
          <w:sz w:val="32"/>
          <w:szCs w:val="32"/>
        </w:rPr>
        <w:t>（</w:t>
      </w:r>
      <w:r>
        <w:rPr>
          <w:rFonts w:hint="eastAsia" w:eastAsia="楷体_GB2312"/>
          <w:b/>
          <w:color w:val="auto"/>
          <w:sz w:val="32"/>
          <w:szCs w:val="32"/>
        </w:rPr>
        <w:t>一）</w:t>
      </w:r>
      <w:r>
        <w:rPr>
          <w:rFonts w:eastAsia="楷体_GB2312"/>
          <w:b/>
          <w:color w:val="auto"/>
          <w:sz w:val="32"/>
          <w:szCs w:val="32"/>
        </w:rPr>
        <w:t>教学设施</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专业建设紧跟医药发展趋势，学校是石家庄四药有限公司、国药乐仁堂河北药业有限公司合作院校、是石家庄四药有限公司、国药乐仁堂河北药业有限公司产教融合人才培养基地。本专业是教育部“1+X”药物制剂生产、药品购销职业技能等级证书试点专业和考点专业。建有制药基础设备、化学基础、分析实验、生物制药、药物制剂仿真、制药工艺仿真等实训室，在实训基地、教师企业实践、学生实训实习等方面进行共建共享。</w:t>
      </w:r>
    </w:p>
    <w:p>
      <w:pPr>
        <w:overflowPunct w:val="0"/>
        <w:adjustRightInd w:val="0"/>
        <w:spacing w:line="560" w:lineRule="exact"/>
        <w:ind w:firstLine="643" w:firstLineChars="200"/>
        <w:outlineLvl w:val="0"/>
        <w:rPr>
          <w:rFonts w:eastAsia="楷体_GB2312"/>
          <w:b/>
          <w:color w:val="auto"/>
          <w:sz w:val="32"/>
          <w:szCs w:val="32"/>
        </w:rPr>
      </w:pPr>
      <w:r>
        <w:rPr>
          <w:rFonts w:eastAsia="楷体_GB2312"/>
          <w:b/>
          <w:color w:val="auto"/>
          <w:sz w:val="32"/>
          <w:szCs w:val="32"/>
        </w:rPr>
        <w:t>（</w:t>
      </w:r>
      <w:r>
        <w:rPr>
          <w:rFonts w:hint="eastAsia" w:eastAsia="楷体_GB2312"/>
          <w:b/>
          <w:color w:val="auto"/>
          <w:sz w:val="32"/>
          <w:szCs w:val="32"/>
        </w:rPr>
        <w:t>二</w:t>
      </w:r>
      <w:r>
        <w:rPr>
          <w:rFonts w:eastAsia="楷体_GB2312"/>
          <w:b/>
          <w:color w:val="auto"/>
          <w:sz w:val="32"/>
          <w:szCs w:val="32"/>
        </w:rPr>
        <w:t>）教学资源</w:t>
      </w:r>
    </w:p>
    <w:p>
      <w:pPr>
        <w:overflowPunct w:val="0"/>
        <w:adjustRightInd w:val="0"/>
        <w:spacing w:line="560" w:lineRule="exact"/>
        <w:ind w:firstLine="640" w:firstLineChars="200"/>
        <w:outlineLvl w:val="0"/>
        <w:rPr>
          <w:rFonts w:ascii="仿宋" w:hAnsi="仿宋" w:eastAsia="仿宋" w:cs="仿宋"/>
          <w:color w:val="auto"/>
          <w:sz w:val="32"/>
          <w:szCs w:val="32"/>
        </w:rPr>
      </w:pPr>
      <w:r>
        <w:rPr>
          <w:rFonts w:hint="eastAsia" w:ascii="仿宋" w:hAnsi="仿宋" w:eastAsia="仿宋" w:cs="仿宋"/>
          <w:color w:val="auto"/>
          <w:sz w:val="32"/>
          <w:szCs w:val="32"/>
        </w:rPr>
        <w:t>以《化学》、《药物制剂》、《制药工艺》、《化工单元操作》、《药物分析与检测》、《药物化学》、《制药设备安装与调试》等课程为核心，建立专业课程教学资源库，其中包含电子教案、电子教材、课件、教学视频、多媒体素材、习题库、试题库、案例库、在线测试等，为实现学生自主学习和相互交流提供优质的共享资源平台。</w:t>
      </w:r>
    </w:p>
    <w:p>
      <w:pPr>
        <w:overflowPunct w:val="0"/>
        <w:adjustRightInd w:val="0"/>
        <w:spacing w:line="560" w:lineRule="exact"/>
        <w:ind w:firstLine="643" w:firstLineChars="200"/>
        <w:outlineLvl w:val="0"/>
        <w:rPr>
          <w:rFonts w:eastAsia="楷体_GB2312"/>
          <w:b/>
          <w:color w:val="auto"/>
          <w:sz w:val="32"/>
          <w:szCs w:val="32"/>
        </w:rPr>
      </w:pPr>
      <w:r>
        <w:rPr>
          <w:rFonts w:eastAsia="楷体_GB2312"/>
          <w:b/>
          <w:color w:val="auto"/>
          <w:sz w:val="32"/>
          <w:szCs w:val="32"/>
        </w:rPr>
        <w:t>（</w:t>
      </w:r>
      <w:r>
        <w:rPr>
          <w:rFonts w:hint="eastAsia" w:eastAsia="楷体_GB2312"/>
          <w:b/>
          <w:color w:val="auto"/>
          <w:sz w:val="32"/>
          <w:szCs w:val="32"/>
        </w:rPr>
        <w:t>三</w:t>
      </w:r>
      <w:r>
        <w:rPr>
          <w:rFonts w:eastAsia="楷体_GB2312"/>
          <w:b/>
          <w:color w:val="auto"/>
          <w:sz w:val="32"/>
          <w:szCs w:val="32"/>
        </w:rPr>
        <w:t>）教学方法</w:t>
      </w:r>
    </w:p>
    <w:p>
      <w:pPr>
        <w:overflowPunct w:val="0"/>
        <w:adjustRightInd w:val="0"/>
        <w:spacing w:line="560" w:lineRule="exact"/>
        <w:ind w:firstLine="640" w:firstLineChars="200"/>
        <w:outlineLvl w:val="0"/>
        <w:rPr>
          <w:rFonts w:ascii="仿宋" w:hAnsi="仿宋" w:eastAsia="仿宋" w:cs="仿宋"/>
          <w:color w:val="auto"/>
          <w:sz w:val="32"/>
          <w:szCs w:val="32"/>
        </w:rPr>
      </w:pPr>
      <w:r>
        <w:rPr>
          <w:rFonts w:hint="eastAsia" w:ascii="仿宋" w:hAnsi="仿宋" w:eastAsia="仿宋" w:cs="仿宋"/>
          <w:color w:val="auto"/>
          <w:sz w:val="32"/>
          <w:szCs w:val="32"/>
        </w:rPr>
        <w:t>依据专业培养目标、课程要求、学生能力与教学资源，采取适当的教学方法，已达到预期的教学目标。</w:t>
      </w:r>
    </w:p>
    <w:p>
      <w:pPr>
        <w:overflowPunct w:val="0"/>
        <w:adjustRightInd w:val="0"/>
        <w:spacing w:line="560" w:lineRule="exact"/>
        <w:ind w:firstLine="640" w:firstLineChars="200"/>
        <w:outlineLvl w:val="0"/>
        <w:rPr>
          <w:rFonts w:ascii="仿宋" w:hAnsi="仿宋" w:eastAsia="仿宋" w:cs="仿宋"/>
          <w:color w:val="auto"/>
          <w:sz w:val="32"/>
          <w:szCs w:val="32"/>
        </w:rPr>
      </w:pPr>
      <w:r>
        <w:rPr>
          <w:rFonts w:hint="eastAsia" w:ascii="仿宋" w:hAnsi="仿宋" w:eastAsia="仿宋" w:cs="仿宋"/>
          <w:color w:val="auto"/>
          <w:sz w:val="32"/>
          <w:szCs w:val="32"/>
        </w:rPr>
        <w:t>公共基础课可以采取讲授式教学、启发式教学、问题探究式教学等方法。通过集体讲解、师生对话、小组讨论、案例分析等形式，调动学生的学习积极性，为专业课的学习以及再教育奠定基础。</w:t>
      </w:r>
    </w:p>
    <w:p>
      <w:pPr>
        <w:overflowPunct w:val="0"/>
        <w:adjustRightInd w:val="0"/>
        <w:spacing w:line="560" w:lineRule="exact"/>
        <w:ind w:firstLine="640" w:firstLineChars="200"/>
        <w:outlineLvl w:val="0"/>
        <w:rPr>
          <w:rFonts w:ascii="仿宋" w:hAnsi="仿宋" w:eastAsia="仿宋" w:cs="仿宋"/>
          <w:color w:val="auto"/>
          <w:sz w:val="32"/>
          <w:szCs w:val="32"/>
        </w:rPr>
      </w:pPr>
      <w:r>
        <w:rPr>
          <w:rFonts w:hint="eastAsia" w:ascii="仿宋" w:hAnsi="仿宋" w:eastAsia="仿宋" w:cs="仿宋"/>
          <w:color w:val="auto"/>
          <w:sz w:val="32"/>
          <w:szCs w:val="32"/>
        </w:rPr>
        <w:t>专业课可以采用项目教学、启发式教学、情景模拟教学、案例教学等方法，利用集体讲解、师生对话、案例分析、小组讨论等形式，应用教学软件等数字化教学资源，使学生更好地理解和掌握药物生产的各项基本技能，为以后的学习和就业打好基础。</w:t>
      </w:r>
    </w:p>
    <w:p>
      <w:pPr>
        <w:overflowPunct w:val="0"/>
        <w:adjustRightInd w:val="0"/>
        <w:spacing w:line="560" w:lineRule="exact"/>
        <w:ind w:firstLine="643" w:firstLineChars="200"/>
        <w:outlineLvl w:val="0"/>
        <w:rPr>
          <w:rFonts w:eastAsia="楷体_GB2312"/>
          <w:b/>
          <w:color w:val="auto"/>
          <w:sz w:val="32"/>
          <w:szCs w:val="32"/>
        </w:rPr>
      </w:pPr>
      <w:r>
        <w:rPr>
          <w:rFonts w:eastAsia="楷体_GB2312"/>
          <w:b/>
          <w:color w:val="auto"/>
          <w:sz w:val="32"/>
          <w:szCs w:val="32"/>
        </w:rPr>
        <w:t>（</w:t>
      </w:r>
      <w:r>
        <w:rPr>
          <w:rFonts w:hint="eastAsia" w:eastAsia="楷体_GB2312"/>
          <w:b/>
          <w:color w:val="auto"/>
          <w:sz w:val="32"/>
          <w:szCs w:val="32"/>
        </w:rPr>
        <w:t>四</w:t>
      </w:r>
      <w:r>
        <w:rPr>
          <w:rFonts w:eastAsia="楷体_GB2312"/>
          <w:b/>
          <w:color w:val="auto"/>
          <w:sz w:val="32"/>
          <w:szCs w:val="32"/>
        </w:rPr>
        <w:t>）学习评价</w:t>
      </w:r>
    </w:p>
    <w:p>
      <w:pPr>
        <w:overflowPunct w:val="0"/>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本专业采用阶段过程性考核和综合考核相结合的多元化学生学习评价体系，坚持过程性评价与结果性评价相结合、主观评价与客观评价相结合。</w:t>
      </w:r>
    </w:p>
    <w:p>
      <w:pPr>
        <w:overflowPunct w:val="0"/>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理论教学学生学业综合考核评价包括期中成绩、期末成绩和平时成绩三部分，学生总评成绩=期中成绩（20%）+期末成绩（40%）+平时成绩（40%）。平时成绩包括课堂表现、活动参与、作业提交和考勤等多元评价方法。</w:t>
      </w:r>
    </w:p>
    <w:p>
      <w:pPr>
        <w:overflowPunct w:val="0"/>
        <w:adjustRightInd w:val="0"/>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学生技能考核以具体技能任务阶段报告为主，采用阶段性技能成果展示和综合考核技能成果展示等形式综合评价。</w:t>
      </w:r>
    </w:p>
    <w:p>
      <w:pPr>
        <w:overflowPunct w:val="0"/>
        <w:adjustRightInd w:val="0"/>
        <w:spacing w:line="560" w:lineRule="exact"/>
        <w:ind w:firstLine="643" w:firstLineChars="200"/>
        <w:outlineLvl w:val="0"/>
        <w:rPr>
          <w:rFonts w:eastAsia="楷体_GB2312"/>
          <w:b/>
          <w:color w:val="auto"/>
          <w:sz w:val="32"/>
          <w:szCs w:val="32"/>
        </w:rPr>
      </w:pPr>
      <w:r>
        <w:rPr>
          <w:rFonts w:eastAsia="楷体_GB2312"/>
          <w:b/>
          <w:color w:val="auto"/>
          <w:sz w:val="32"/>
          <w:szCs w:val="32"/>
        </w:rPr>
        <w:t>（</w:t>
      </w:r>
      <w:r>
        <w:rPr>
          <w:rFonts w:hint="eastAsia" w:eastAsia="楷体_GB2312"/>
          <w:b/>
          <w:color w:val="auto"/>
          <w:sz w:val="32"/>
          <w:szCs w:val="32"/>
        </w:rPr>
        <w:t>五</w:t>
      </w:r>
      <w:r>
        <w:rPr>
          <w:rFonts w:eastAsia="楷体_GB2312"/>
          <w:b/>
          <w:color w:val="auto"/>
          <w:sz w:val="32"/>
          <w:szCs w:val="32"/>
        </w:rPr>
        <w:t>）质量管理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与实际紧密联系，动态发展课程内容。及时掌握本地区经济发展及人才需求情况，本着适应与超前的原则，不断优化课程结构。并且要注意打破课程、教材、教学之间的等号，在教学中学校和教师要积极构建课程及内容。</w:t>
      </w:r>
    </w:p>
    <w:p>
      <w:pPr>
        <w:overflowPunct w:val="0"/>
        <w:adjustRightInd w:val="0"/>
        <w:spacing w:line="560" w:lineRule="exact"/>
        <w:ind w:firstLine="640" w:firstLineChars="200"/>
        <w:outlineLvl w:val="0"/>
        <w:rPr>
          <w:rFonts w:eastAsia="黑体"/>
          <w:color w:val="auto"/>
          <w:sz w:val="32"/>
          <w:szCs w:val="32"/>
        </w:rPr>
      </w:pPr>
      <w:r>
        <w:rPr>
          <w:rFonts w:hint="eastAsia" w:eastAsia="黑体"/>
          <w:color w:val="auto"/>
          <w:sz w:val="32"/>
          <w:szCs w:val="32"/>
        </w:rPr>
        <w:t>十一</w:t>
      </w:r>
      <w:r>
        <w:rPr>
          <w:rFonts w:eastAsia="黑体"/>
          <w:color w:val="auto"/>
          <w:sz w:val="32"/>
          <w:szCs w:val="32"/>
        </w:rPr>
        <w:t>、毕业要求</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1.在规定的学习时间段内，无留级、留校察看等不良记录，修满人才培养方案规定的学时学分，完成规定的教学活动。</w:t>
      </w:r>
    </w:p>
    <w:p>
      <w:pPr>
        <w:spacing w:line="560" w:lineRule="exact"/>
        <w:ind w:firstLine="645"/>
        <w:rPr>
          <w:rFonts w:ascii="仿宋" w:hAnsi="仿宋" w:eastAsia="仿宋" w:cs="仿宋"/>
          <w:color w:val="auto"/>
          <w:sz w:val="32"/>
          <w:szCs w:val="32"/>
        </w:rPr>
      </w:pPr>
      <w:r>
        <w:rPr>
          <w:rFonts w:hint="eastAsia" w:ascii="仿宋" w:hAnsi="仿宋" w:eastAsia="仿宋" w:cs="仿宋"/>
          <w:color w:val="auto"/>
          <w:sz w:val="32"/>
          <w:szCs w:val="32"/>
        </w:rPr>
        <w:t>2.具有人文社会素养、社会责任感，能够在实践中理解并遵守职业道德和规范，履行责任。</w:t>
      </w:r>
    </w:p>
    <w:p>
      <w:pPr>
        <w:spacing w:line="560" w:lineRule="exact"/>
        <w:ind w:firstLine="645"/>
        <w:rPr>
          <w:color w:val="auto"/>
          <w:sz w:val="32"/>
          <w:szCs w:val="32"/>
        </w:rPr>
      </w:pPr>
      <w:r>
        <w:rPr>
          <w:rFonts w:hint="eastAsia" w:ascii="仿宋" w:hAnsi="仿宋" w:eastAsia="仿宋" w:cs="仿宋"/>
          <w:color w:val="auto"/>
          <w:sz w:val="32"/>
          <w:szCs w:val="32"/>
        </w:rPr>
        <w:t>3.能够在多学科背景下的团队中承担个体、团体成员以及负责人的角色。</w:t>
      </w:r>
    </w:p>
    <w:sectPr>
      <w:footerReference r:id="rId3" w:type="default"/>
      <w:pgSz w:w="11906" w:h="16838"/>
      <w:pgMar w:top="2098" w:right="158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3NzIyZDE4ODYyMGYwMWFjOTc1MTJiZTRhNTg3ZTAifQ=="/>
    <w:docVar w:name="KSO_WPS_MARK_KEY" w:val="56b4ce19-f677-48ee-bdc2-d165d9ae7ada"/>
  </w:docVars>
  <w:rsids>
    <w:rsidRoot w:val="51750383"/>
    <w:rsid w:val="00003A34"/>
    <w:rsid w:val="00011826"/>
    <w:rsid w:val="00026F19"/>
    <w:rsid w:val="00066BB8"/>
    <w:rsid w:val="000742FA"/>
    <w:rsid w:val="000B3924"/>
    <w:rsid w:val="000B4B76"/>
    <w:rsid w:val="000D2B95"/>
    <w:rsid w:val="00104AA0"/>
    <w:rsid w:val="0012460E"/>
    <w:rsid w:val="00194B1A"/>
    <w:rsid w:val="001A413D"/>
    <w:rsid w:val="001D696F"/>
    <w:rsid w:val="001F08A7"/>
    <w:rsid w:val="00237976"/>
    <w:rsid w:val="002949F6"/>
    <w:rsid w:val="002F0298"/>
    <w:rsid w:val="003A77EA"/>
    <w:rsid w:val="003B59B8"/>
    <w:rsid w:val="003E64C1"/>
    <w:rsid w:val="00492225"/>
    <w:rsid w:val="00495050"/>
    <w:rsid w:val="00510095"/>
    <w:rsid w:val="0052677C"/>
    <w:rsid w:val="00546070"/>
    <w:rsid w:val="005504B6"/>
    <w:rsid w:val="00552D7B"/>
    <w:rsid w:val="005E322F"/>
    <w:rsid w:val="005F69F6"/>
    <w:rsid w:val="00653356"/>
    <w:rsid w:val="00663D73"/>
    <w:rsid w:val="00677324"/>
    <w:rsid w:val="006B6ED5"/>
    <w:rsid w:val="006D011E"/>
    <w:rsid w:val="007708A3"/>
    <w:rsid w:val="007C0136"/>
    <w:rsid w:val="007D49BC"/>
    <w:rsid w:val="007D4A49"/>
    <w:rsid w:val="007E3E5C"/>
    <w:rsid w:val="0080266F"/>
    <w:rsid w:val="008A7DCE"/>
    <w:rsid w:val="008B7DFF"/>
    <w:rsid w:val="009C3240"/>
    <w:rsid w:val="009C5A44"/>
    <w:rsid w:val="009E4660"/>
    <w:rsid w:val="00A42A92"/>
    <w:rsid w:val="00A9617C"/>
    <w:rsid w:val="00A97EFB"/>
    <w:rsid w:val="00AF16D0"/>
    <w:rsid w:val="00AF78D2"/>
    <w:rsid w:val="00B133C7"/>
    <w:rsid w:val="00B135DB"/>
    <w:rsid w:val="00B24D9C"/>
    <w:rsid w:val="00B34E44"/>
    <w:rsid w:val="00B603EB"/>
    <w:rsid w:val="00BF555D"/>
    <w:rsid w:val="00C25083"/>
    <w:rsid w:val="00D1447D"/>
    <w:rsid w:val="00D3176B"/>
    <w:rsid w:val="00D65C6D"/>
    <w:rsid w:val="00DA3143"/>
    <w:rsid w:val="00DC5F1E"/>
    <w:rsid w:val="00DE1AEE"/>
    <w:rsid w:val="00DE24C0"/>
    <w:rsid w:val="00E013DD"/>
    <w:rsid w:val="00E05B64"/>
    <w:rsid w:val="00E060F0"/>
    <w:rsid w:val="00E07303"/>
    <w:rsid w:val="00E7466B"/>
    <w:rsid w:val="00E85193"/>
    <w:rsid w:val="00E94766"/>
    <w:rsid w:val="00EA5D4A"/>
    <w:rsid w:val="00EF292A"/>
    <w:rsid w:val="00F41E07"/>
    <w:rsid w:val="00FA0177"/>
    <w:rsid w:val="00FE47EA"/>
    <w:rsid w:val="027A1FFF"/>
    <w:rsid w:val="028311D2"/>
    <w:rsid w:val="02AD2E45"/>
    <w:rsid w:val="05F310A8"/>
    <w:rsid w:val="061B33AB"/>
    <w:rsid w:val="079E52B1"/>
    <w:rsid w:val="07A2624F"/>
    <w:rsid w:val="07C83E1B"/>
    <w:rsid w:val="085B1D6F"/>
    <w:rsid w:val="0AC86ED2"/>
    <w:rsid w:val="0ADE6DDF"/>
    <w:rsid w:val="0CA91A44"/>
    <w:rsid w:val="0D764D13"/>
    <w:rsid w:val="0FA53A62"/>
    <w:rsid w:val="1003797D"/>
    <w:rsid w:val="106F72F4"/>
    <w:rsid w:val="12CC5617"/>
    <w:rsid w:val="130608A8"/>
    <w:rsid w:val="130B2F3B"/>
    <w:rsid w:val="135348E6"/>
    <w:rsid w:val="135741CF"/>
    <w:rsid w:val="150A124F"/>
    <w:rsid w:val="15694F24"/>
    <w:rsid w:val="15876BC1"/>
    <w:rsid w:val="18FA7505"/>
    <w:rsid w:val="1BAB226E"/>
    <w:rsid w:val="1E940449"/>
    <w:rsid w:val="1EAC32F3"/>
    <w:rsid w:val="1F276D8B"/>
    <w:rsid w:val="20E770DE"/>
    <w:rsid w:val="21D54CB5"/>
    <w:rsid w:val="2280002D"/>
    <w:rsid w:val="23FB206D"/>
    <w:rsid w:val="240B469F"/>
    <w:rsid w:val="24A205A0"/>
    <w:rsid w:val="25511CA7"/>
    <w:rsid w:val="27F80563"/>
    <w:rsid w:val="28100720"/>
    <w:rsid w:val="28276604"/>
    <w:rsid w:val="29C65737"/>
    <w:rsid w:val="2A0C65CE"/>
    <w:rsid w:val="2A4224D3"/>
    <w:rsid w:val="2AED047E"/>
    <w:rsid w:val="2CF43071"/>
    <w:rsid w:val="2D0411AD"/>
    <w:rsid w:val="2FF00BFE"/>
    <w:rsid w:val="2FF12B49"/>
    <w:rsid w:val="30BC7DFE"/>
    <w:rsid w:val="30C22315"/>
    <w:rsid w:val="30D715B9"/>
    <w:rsid w:val="31B94279"/>
    <w:rsid w:val="32C57CA9"/>
    <w:rsid w:val="32E50A6F"/>
    <w:rsid w:val="33B064E7"/>
    <w:rsid w:val="33C52270"/>
    <w:rsid w:val="33E749DF"/>
    <w:rsid w:val="366854D4"/>
    <w:rsid w:val="36A55DE0"/>
    <w:rsid w:val="373F08BA"/>
    <w:rsid w:val="3B041C33"/>
    <w:rsid w:val="3B982D49"/>
    <w:rsid w:val="3E9F580B"/>
    <w:rsid w:val="405A694A"/>
    <w:rsid w:val="40B9472D"/>
    <w:rsid w:val="433D186A"/>
    <w:rsid w:val="445C7D41"/>
    <w:rsid w:val="44AF4753"/>
    <w:rsid w:val="44D679E6"/>
    <w:rsid w:val="44F03CA1"/>
    <w:rsid w:val="470B07EE"/>
    <w:rsid w:val="47940563"/>
    <w:rsid w:val="48111D26"/>
    <w:rsid w:val="486959CC"/>
    <w:rsid w:val="48897310"/>
    <w:rsid w:val="4938307A"/>
    <w:rsid w:val="49740948"/>
    <w:rsid w:val="4AC52226"/>
    <w:rsid w:val="4D3123DF"/>
    <w:rsid w:val="4D3B7C96"/>
    <w:rsid w:val="4EB716BA"/>
    <w:rsid w:val="4F00124E"/>
    <w:rsid w:val="4F31669E"/>
    <w:rsid w:val="4FDF3672"/>
    <w:rsid w:val="507C775A"/>
    <w:rsid w:val="51403A91"/>
    <w:rsid w:val="51750383"/>
    <w:rsid w:val="51AA35AD"/>
    <w:rsid w:val="538F3485"/>
    <w:rsid w:val="555A2D61"/>
    <w:rsid w:val="55BC1931"/>
    <w:rsid w:val="56642E02"/>
    <w:rsid w:val="58A77ADB"/>
    <w:rsid w:val="59937332"/>
    <w:rsid w:val="59AD70AF"/>
    <w:rsid w:val="5BC33FA7"/>
    <w:rsid w:val="5CE00143"/>
    <w:rsid w:val="5F5905F2"/>
    <w:rsid w:val="5FD84FC4"/>
    <w:rsid w:val="602D7CBC"/>
    <w:rsid w:val="6280757E"/>
    <w:rsid w:val="62AF0893"/>
    <w:rsid w:val="644301A3"/>
    <w:rsid w:val="64430959"/>
    <w:rsid w:val="648603B0"/>
    <w:rsid w:val="65855C7B"/>
    <w:rsid w:val="670E4F40"/>
    <w:rsid w:val="67632B84"/>
    <w:rsid w:val="6B2D5091"/>
    <w:rsid w:val="6BA25B26"/>
    <w:rsid w:val="6C1A65D8"/>
    <w:rsid w:val="6E136DBE"/>
    <w:rsid w:val="6FD213F0"/>
    <w:rsid w:val="70105BD0"/>
    <w:rsid w:val="70357077"/>
    <w:rsid w:val="70EB50D8"/>
    <w:rsid w:val="725D4B26"/>
    <w:rsid w:val="73025D8D"/>
    <w:rsid w:val="73D11013"/>
    <w:rsid w:val="74015467"/>
    <w:rsid w:val="7C8C2CA7"/>
    <w:rsid w:val="7E25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styleId="10">
    <w:name w:val="Emphasis"/>
    <w:basedOn w:val="8"/>
    <w:autoRedefine/>
    <w:qFormat/>
    <w:uiPriority w:val="20"/>
    <w:rPr>
      <w:i/>
      <w:iCs/>
    </w:rPr>
  </w:style>
  <w:style w:type="character" w:styleId="11">
    <w:name w:val="Hyperlink"/>
    <w:basedOn w:val="8"/>
    <w:autoRedefine/>
    <w:qFormat/>
    <w:uiPriority w:val="0"/>
    <w:rPr>
      <w:color w:val="0000FF"/>
      <w:u w:val="single"/>
    </w:rPr>
  </w:style>
  <w:style w:type="paragraph" w:customStyle="1" w:styleId="12">
    <w:name w:val="中等深浅网格 1 - 着色 21"/>
    <w:basedOn w:val="1"/>
    <w:autoRedefine/>
    <w:qFormat/>
    <w:uiPriority w:val="0"/>
    <w:pPr>
      <w:spacing w:line="360" w:lineRule="auto"/>
      <w:ind w:firstLine="420" w:firstLineChars="200"/>
    </w:pPr>
    <w:rPr>
      <w:rFonts w:ascii="Calibri" w:hAnsi="Calibri" w:eastAsia="宋体"/>
    </w:rPr>
  </w:style>
  <w:style w:type="paragraph" w:styleId="13">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8F5F3B-C0B9-4856-910A-947A3A644F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9535</Words>
  <Characters>9808</Characters>
  <Lines>11</Lines>
  <Paragraphs>22</Paragraphs>
  <TotalTime>0</TotalTime>
  <ScaleCrop>false</ScaleCrop>
  <LinksUpToDate>false</LinksUpToDate>
  <CharactersWithSpaces>10048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2022-10-13T07:41:00Z</dcterms:created>
  <dc:creator>Administrator</dc:creator>
  <cp:lastModifiedBy>董董</cp:lastModifiedBy>
  <cp:lastPrinted>2019-07-08T06:10:00Z</cp:lastPrinted>
  <dcterms:modified xsi:type="dcterms:W3CDTF">2024-04-01T02:20:26Z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2846E8B5D75A46D985D9A9DCAA5C7D53</vt:lpwstr>
  </property>
</Properties>
</file>