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olor w:val="auto"/>
          <w:sz w:val="72"/>
          <w:szCs w:val="72"/>
        </w:rPr>
      </w:pPr>
      <w:bookmarkStart w:id="0" w:name="_Toc536607955"/>
      <w:bookmarkStart w:id="1" w:name="_Toc536591124"/>
      <w:bookmarkStart w:id="2" w:name="t2"/>
      <w:r>
        <w:rPr>
          <w:rFonts w:hint="eastAsia" w:ascii="方正小标宋简体" w:hAnsi="方正小标宋简体" w:eastAsia="方正小标宋简体"/>
          <w:color w:val="auto"/>
          <w:sz w:val="72"/>
          <w:szCs w:val="72"/>
        </w:rPr>
        <w:t>石家庄财经商贸学校</w:t>
      </w:r>
    </w:p>
    <w:p>
      <w:pPr>
        <w:jc w:val="center"/>
        <w:rPr>
          <w:rFonts w:ascii="方正小标宋简体" w:hAnsi="方正小标宋简体" w:eastAsia="方正小标宋简体"/>
          <w:color w:val="auto"/>
          <w:sz w:val="72"/>
          <w:szCs w:val="72"/>
        </w:rPr>
      </w:pPr>
      <w:r>
        <w:rPr>
          <w:rFonts w:hint="eastAsia" w:ascii="方正小标宋简体" w:hAnsi="方正小标宋简体" w:eastAsia="方正小标宋简体"/>
          <w:color w:val="auto"/>
          <w:sz w:val="72"/>
          <w:szCs w:val="72"/>
        </w:rPr>
        <w:t>专业人才培养方案</w:t>
      </w:r>
    </w:p>
    <w:p>
      <w:pPr>
        <w:rPr>
          <w:rFonts w:ascii="方正小标宋简体" w:hAnsi="方正小标宋简体" w:eastAsia="方正小标宋简体"/>
          <w:color w:val="auto"/>
          <w:sz w:val="72"/>
          <w:szCs w:val="72"/>
        </w:rPr>
      </w:pPr>
    </w:p>
    <w:p>
      <w:pPr>
        <w:rPr>
          <w:rFonts w:ascii="方正小标宋简体" w:hAnsi="方正小标宋简体" w:eastAsia="方正小标宋简体"/>
          <w:color w:val="auto"/>
          <w:sz w:val="72"/>
          <w:szCs w:val="72"/>
        </w:rPr>
      </w:pPr>
    </w:p>
    <w:p>
      <w:pPr>
        <w:spacing w:line="1000" w:lineRule="exact"/>
        <w:ind w:firstLine="1920" w:firstLineChars="600"/>
        <w:rPr>
          <w:rFonts w:ascii="方正仿宋简体" w:hAnsi="方正仿宋简体" w:eastAsia="方正仿宋简体"/>
          <w:color w:val="auto"/>
          <w:sz w:val="32"/>
          <w:szCs w:val="32"/>
          <w:u w:val="single"/>
        </w:rPr>
      </w:pPr>
      <w:r>
        <w:rPr>
          <w:color w:val="auto"/>
          <w:sz w:val="32"/>
        </w:rPr>
        <mc:AlternateContent>
          <mc:Choice Requires="wps">
            <w:drawing>
              <wp:anchor distT="0" distB="0" distL="114300" distR="114300" simplePos="0" relativeHeight="251659264" behindDoc="0" locked="0" layoutInCell="1" allowOverlap="1">
                <wp:simplePos x="0" y="0"/>
                <wp:positionH relativeFrom="column">
                  <wp:posOffset>2132965</wp:posOffset>
                </wp:positionH>
                <wp:positionV relativeFrom="paragraph">
                  <wp:posOffset>614680</wp:posOffset>
                </wp:positionV>
                <wp:extent cx="1847850" cy="0"/>
                <wp:effectExtent l="0" t="0" r="0" b="0"/>
                <wp:wrapNone/>
                <wp:docPr id="4" name="直接连接符 4"/>
                <wp:cNvGraphicFramePr/>
                <a:graphic xmlns:a="http://schemas.openxmlformats.org/drawingml/2006/main">
                  <a:graphicData uri="http://schemas.microsoft.com/office/word/2010/wordprocessingShape">
                    <wps:wsp>
                      <wps:cNvCnPr/>
                      <wps:spPr>
                        <a:xfrm>
                          <a:off x="3140710" y="511683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7.95pt;margin-top:48.4pt;height:0pt;width:145.5pt;z-index:251659264;mso-width-relative:page;mso-height-relative:page;" filled="f" stroked="t" coordsize="21600,21600" o:gfxdata="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WVq1gAAAAkBAAAPAAAAAAAAAAEAIAAAACIAAABkcnMvZG93bnJldi54bWxQSwECFAAUAAAA&#10;CACHTuJA+UT44vABAAC9AwAADgAAAAAAAAABACAAAAAlAQAAZHJzL2Uyb0RvYy54bWxQSwUGAAAA&#10;AAYABgBZAQAAhwUAAAAA&#10;">
                <v:fill on="f" focussize="0,0"/>
                <v:stroke weight="0.5pt" color="#000000 [3200]" miterlimit="8" joinstyle="miter"/>
                <v:imagedata o:title=""/>
                <o:lock v:ext="edit" aspectratio="f"/>
              </v:line>
            </w:pict>
          </mc:Fallback>
        </mc:AlternateContent>
      </w:r>
      <w:r>
        <w:rPr>
          <w:rFonts w:hint="eastAsia" w:ascii="方正仿宋简体" w:hAnsi="方正仿宋简体" w:eastAsia="方正仿宋简体"/>
          <w:color w:val="auto"/>
          <w:sz w:val="32"/>
          <w:szCs w:val="32"/>
        </w:rPr>
        <w:t xml:space="preserve">专业名称：  </w:t>
      </w:r>
      <w:r>
        <w:rPr>
          <w:rFonts w:hint="eastAsia" w:ascii="方正仿宋简体" w:hAnsi="方正仿宋简体" w:eastAsia="方正仿宋简体"/>
          <w:color w:val="auto"/>
          <w:sz w:val="32"/>
          <w:szCs w:val="32"/>
          <w:lang w:eastAsia="zh-CN"/>
        </w:rPr>
        <w:t>生物制药工艺专业</w:t>
      </w:r>
      <w:r>
        <w:rPr>
          <w:rFonts w:hint="eastAsia" w:ascii="方正仿宋简体" w:hAnsi="方正仿宋简体" w:eastAsia="方正仿宋简体"/>
          <w:color w:val="auto"/>
          <w:sz w:val="32"/>
          <w:szCs w:val="32"/>
        </w:rPr>
        <w:t xml:space="preserve"> </w:t>
      </w:r>
      <w:r>
        <w:rPr>
          <w:rFonts w:hint="eastAsia" w:ascii="方正仿宋简体" w:hAnsi="方正仿宋简体" w:eastAsia="方正仿宋简体"/>
          <w:color w:val="auto"/>
          <w:sz w:val="32"/>
          <w:szCs w:val="32"/>
          <w:u w:val="single"/>
        </w:rPr>
        <w:t xml:space="preserve">    </w:t>
      </w:r>
      <w:r>
        <w:rPr>
          <w:rFonts w:ascii="方正仿宋简体" w:hAnsi="方正仿宋简体" w:eastAsia="方正仿宋简体"/>
          <w:color w:val="auto"/>
          <w:sz w:val="32"/>
          <w:szCs w:val="32"/>
          <w:u w:val="single"/>
        </w:rPr>
        <w:t xml:space="preserve"> </w:t>
      </w:r>
    </w:p>
    <w:p>
      <w:pPr>
        <w:spacing w:line="1000" w:lineRule="exact"/>
        <w:ind w:firstLine="1920" w:firstLineChars="600"/>
        <w:rPr>
          <w:rFonts w:ascii="方正仿宋简体" w:hAnsi="方正仿宋简体" w:eastAsia="方正仿宋简体"/>
          <w:color w:val="auto"/>
          <w:sz w:val="32"/>
          <w:szCs w:val="32"/>
          <w:u w:val="single"/>
        </w:rPr>
      </w:pPr>
      <w:r>
        <w:rPr>
          <w:color w:val="auto"/>
          <w:sz w:val="32"/>
        </w:rPr>
        <mc:AlternateContent>
          <mc:Choice Requires="wps">
            <w:drawing>
              <wp:anchor distT="0" distB="0" distL="114300" distR="114300" simplePos="0" relativeHeight="251660288" behindDoc="0" locked="0" layoutInCell="1" allowOverlap="1">
                <wp:simplePos x="0" y="0"/>
                <wp:positionH relativeFrom="column">
                  <wp:posOffset>2142490</wp:posOffset>
                </wp:positionH>
                <wp:positionV relativeFrom="paragraph">
                  <wp:posOffset>551180</wp:posOffset>
                </wp:positionV>
                <wp:extent cx="18478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8.7pt;margin-top:43.4pt;height:0pt;width:145.5pt;z-index:251660288;mso-width-relative:page;mso-height-relative:page;" filled="f" stroked="t" coordsize="21600,21600" o:gfxdata="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JqY4p1gAAAAkBAAAP&#10;AAAAAAAAAAEAIAAAACIAAABkcnMvZG93bnJldi54bWxQSwECFAAUAAAACACHTuJAplBU4OEBAACx&#10;AwAADgAAAAAAAAABACAAAAAlAQAAZHJzL2Uyb0RvYy54bWxQSwUGAAAAAAYABgBZAQAAeAUAAAAA&#10;">
                <v:fill on="f" focussize="0,0"/>
                <v:stroke weight="0.5pt" color="#000000 [3200]" miterlimit="8" joinstyle="miter"/>
                <v:imagedata o:title=""/>
                <o:lock v:ext="edit" aspectratio="f"/>
              </v:line>
            </w:pict>
          </mc:Fallback>
        </mc:AlternateContent>
      </w:r>
      <w:r>
        <w:rPr>
          <w:rFonts w:hint="eastAsia" w:ascii="方正仿宋简体" w:hAnsi="方正仿宋简体" w:eastAsia="方正仿宋简体"/>
          <w:color w:val="auto"/>
          <w:sz w:val="32"/>
          <w:szCs w:val="32"/>
        </w:rPr>
        <w:t xml:space="preserve">专业代码：   </w:t>
      </w:r>
      <w:r>
        <w:rPr>
          <w:rFonts w:hint="eastAsia" w:ascii="方正仿宋简体" w:hAnsi="方正仿宋简体" w:eastAsia="方正仿宋简体"/>
          <w:color w:val="auto"/>
          <w:sz w:val="32"/>
          <w:szCs w:val="32"/>
          <w:lang w:val="en-US" w:eastAsia="zh-CN"/>
        </w:rPr>
        <w:t>6</w:t>
      </w:r>
      <w:r>
        <w:rPr>
          <w:rFonts w:hint="eastAsia" w:ascii="方正仿宋简体" w:hAnsi="方正仿宋简体" w:eastAsia="方正仿宋简体"/>
          <w:color w:val="auto"/>
          <w:sz w:val="32"/>
          <w:szCs w:val="32"/>
        </w:rPr>
        <w:t>9020</w:t>
      </w:r>
      <w:r>
        <w:rPr>
          <w:rFonts w:hint="eastAsia" w:ascii="方正仿宋简体" w:hAnsi="方正仿宋简体" w:eastAsia="方正仿宋简体"/>
          <w:color w:val="auto"/>
          <w:sz w:val="32"/>
          <w:szCs w:val="32"/>
          <w:lang w:val="en-US" w:eastAsia="zh-CN"/>
        </w:rPr>
        <w:t>2</w:t>
      </w:r>
      <w:r>
        <w:rPr>
          <w:rFonts w:hint="eastAsia" w:ascii="方正仿宋简体" w:hAnsi="方正仿宋简体" w:eastAsia="方正仿宋简体"/>
          <w:color w:val="auto"/>
          <w:sz w:val="32"/>
          <w:szCs w:val="32"/>
          <w:u w:val="single"/>
        </w:rPr>
        <w:t xml:space="preserve">  </w:t>
      </w:r>
      <w:r>
        <w:rPr>
          <w:rFonts w:ascii="方正仿宋简体" w:hAnsi="方正仿宋简体" w:eastAsia="方正仿宋简体"/>
          <w:color w:val="auto"/>
          <w:sz w:val="32"/>
          <w:szCs w:val="32"/>
          <w:u w:val="single"/>
        </w:rPr>
        <w:t xml:space="preserve">     </w:t>
      </w:r>
    </w:p>
    <w:p>
      <w:pPr>
        <w:spacing w:line="1000" w:lineRule="exact"/>
        <w:ind w:firstLine="1920" w:firstLineChars="600"/>
        <w:rPr>
          <w:rFonts w:ascii="方正仿宋简体" w:hAnsi="方正仿宋简体" w:eastAsia="方正仿宋简体"/>
          <w:color w:val="auto"/>
          <w:sz w:val="32"/>
          <w:szCs w:val="32"/>
          <w:u w:val="single"/>
        </w:rPr>
      </w:pPr>
      <w:r>
        <w:rPr>
          <w:color w:val="auto"/>
          <w:sz w:val="32"/>
        </w:rPr>
        <mc:AlternateContent>
          <mc:Choice Requires="wps">
            <w:drawing>
              <wp:anchor distT="0" distB="0" distL="114300" distR="114300" simplePos="0" relativeHeight="251661312" behindDoc="0" locked="0" layoutInCell="1" allowOverlap="1">
                <wp:simplePos x="0" y="0"/>
                <wp:positionH relativeFrom="column">
                  <wp:posOffset>2132965</wp:posOffset>
                </wp:positionH>
                <wp:positionV relativeFrom="paragraph">
                  <wp:posOffset>592455</wp:posOffset>
                </wp:positionV>
                <wp:extent cx="184785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7.95pt;margin-top:46.65pt;height:0pt;width:145.5pt;z-index:251661312;mso-width-relative:page;mso-height-relative:page;" filled="f" stroked="t" coordsize="21600,21600" o:gfxdata="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wd+xHWAAAACQEAAA8A&#10;AAAAAAAAAQAgAAAAIgAAAGRycy9kb3ducmV2LnhtbFBLAQIUABQAAAAIAIdO4kBpZwZO4AEAALED&#10;AAAOAAAAAAAAAAEAIAAAACUBAABkcnMvZTJvRG9jLnhtbFBLBQYAAAAABgAGAFkBAAB3BQAAAAA=&#10;">
                <v:fill on="f" focussize="0,0"/>
                <v:stroke weight="0.5pt" color="#000000 [3200]" miterlimit="8" joinstyle="miter"/>
                <v:imagedata o:title=""/>
                <o:lock v:ext="edit" aspectratio="f"/>
              </v:line>
            </w:pict>
          </mc:Fallback>
        </mc:AlternateContent>
      </w:r>
      <w:r>
        <w:rPr>
          <w:rFonts w:hint="eastAsia" w:ascii="方正仿宋简体" w:hAnsi="方正仿宋简体" w:eastAsia="方正仿宋简体"/>
          <w:color w:val="auto"/>
          <w:sz w:val="32"/>
          <w:szCs w:val="32"/>
        </w:rPr>
        <w:t xml:space="preserve">所属系部：  </w:t>
      </w:r>
      <w:r>
        <w:rPr>
          <w:rFonts w:hint="eastAsia" w:ascii="方正仿宋简体" w:hAnsi="方正仿宋简体" w:eastAsia="方正仿宋简体"/>
          <w:color w:val="auto"/>
          <w:sz w:val="32"/>
          <w:szCs w:val="32"/>
          <w:lang w:eastAsia="zh-CN"/>
        </w:rPr>
        <w:t>制药</w:t>
      </w:r>
      <w:r>
        <w:rPr>
          <w:rFonts w:hint="eastAsia" w:ascii="方正仿宋简体" w:hAnsi="方正仿宋简体" w:eastAsia="方正仿宋简体"/>
          <w:color w:val="auto"/>
          <w:sz w:val="32"/>
          <w:szCs w:val="32"/>
        </w:rPr>
        <w:t>专业部</w:t>
      </w:r>
      <w:r>
        <w:rPr>
          <w:rFonts w:ascii="方正仿宋简体" w:hAnsi="方正仿宋简体" w:eastAsia="方正仿宋简体"/>
          <w:color w:val="auto"/>
          <w:sz w:val="32"/>
          <w:szCs w:val="32"/>
          <w:u w:val="single"/>
        </w:rPr>
        <w:t xml:space="preserve">  </w:t>
      </w:r>
    </w:p>
    <w:p>
      <w:pPr>
        <w:spacing w:line="1000" w:lineRule="exact"/>
        <w:ind w:firstLine="1920" w:firstLineChars="600"/>
        <w:rPr>
          <w:rFonts w:ascii="方正仿宋简体" w:hAnsi="方正仿宋简体" w:eastAsia="方正仿宋简体"/>
          <w:color w:val="auto"/>
          <w:sz w:val="32"/>
          <w:szCs w:val="32"/>
          <w:u w:val="single"/>
        </w:rPr>
      </w:pPr>
      <w:r>
        <w:rPr>
          <w:color w:val="auto"/>
          <w:sz w:val="32"/>
        </w:rPr>
        <mc:AlternateContent>
          <mc:Choice Requires="wps">
            <w:drawing>
              <wp:anchor distT="0" distB="0" distL="114300" distR="114300" simplePos="0" relativeHeight="251662336" behindDoc="0" locked="0" layoutInCell="1" allowOverlap="1">
                <wp:simplePos x="0" y="0"/>
                <wp:positionH relativeFrom="column">
                  <wp:posOffset>2132965</wp:posOffset>
                </wp:positionH>
                <wp:positionV relativeFrom="paragraph">
                  <wp:posOffset>567055</wp:posOffset>
                </wp:positionV>
                <wp:extent cx="184785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7.95pt;margin-top:44.65pt;height:0pt;width:145.5pt;z-index:251662336;mso-width-relative:page;mso-height-relative:page;" filled="f" stroked="t" coordsize="21600,21600" o:gfxdata="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RotS1gAAAAkBAAAP&#10;AAAAAAAAAAEAIAAAACIAAABkcnMvZG93bnJldi54bWxQSwECFAAUAAAACACHTuJAE4gYneEBAACx&#10;AwAADgAAAAAAAAABACAAAAAlAQAAZHJzL2Uyb0RvYy54bWxQSwUGAAAAAAYABgBZAQAAeAUAAAAA&#10;">
                <v:fill on="f" focussize="0,0"/>
                <v:stroke weight="0.5pt" color="#000000 [3200]" miterlimit="8" joinstyle="miter"/>
                <v:imagedata o:title=""/>
                <o:lock v:ext="edit" aspectratio="f"/>
              </v:line>
            </w:pict>
          </mc:Fallback>
        </mc:AlternateContent>
      </w:r>
      <w:r>
        <w:rPr>
          <w:rFonts w:hint="eastAsia" w:ascii="方正仿宋简体" w:hAnsi="方正仿宋简体" w:eastAsia="方正仿宋简体"/>
          <w:color w:val="auto"/>
          <w:sz w:val="32"/>
          <w:szCs w:val="32"/>
        </w:rPr>
        <w:t>修订时间：  202</w:t>
      </w:r>
      <w:r>
        <w:rPr>
          <w:rFonts w:hint="eastAsia" w:ascii="方正仿宋简体" w:hAnsi="方正仿宋简体" w:eastAsia="方正仿宋简体"/>
          <w:color w:val="auto"/>
          <w:sz w:val="32"/>
          <w:szCs w:val="32"/>
          <w:lang w:val="en-US" w:eastAsia="zh-CN"/>
        </w:rPr>
        <w:t>3</w:t>
      </w:r>
      <w:r>
        <w:rPr>
          <w:rFonts w:hint="eastAsia" w:ascii="方正仿宋简体" w:hAnsi="方正仿宋简体" w:eastAsia="方正仿宋简体"/>
          <w:color w:val="auto"/>
          <w:sz w:val="32"/>
          <w:szCs w:val="32"/>
        </w:rPr>
        <w:t>年</w:t>
      </w:r>
      <w:r>
        <w:rPr>
          <w:rFonts w:ascii="方正仿宋简体" w:hAnsi="方正仿宋简体" w:eastAsia="方正仿宋简体"/>
          <w:color w:val="auto"/>
          <w:sz w:val="32"/>
          <w:szCs w:val="32"/>
        </w:rPr>
        <w:t>8</w:t>
      </w:r>
      <w:r>
        <w:rPr>
          <w:rFonts w:hint="eastAsia" w:ascii="方正仿宋简体" w:hAnsi="方正仿宋简体" w:eastAsia="方正仿宋简体"/>
          <w:color w:val="auto"/>
          <w:sz w:val="32"/>
          <w:szCs w:val="32"/>
        </w:rPr>
        <w:t>月</w:t>
      </w:r>
      <w:r>
        <w:rPr>
          <w:rFonts w:hint="eastAsia" w:ascii="方正仿宋简体" w:hAnsi="方正仿宋简体" w:eastAsia="方正仿宋简体"/>
          <w:color w:val="auto"/>
          <w:sz w:val="32"/>
          <w:szCs w:val="32"/>
          <w:u w:val="single"/>
        </w:rPr>
        <w:t xml:space="preserve"> </w:t>
      </w:r>
      <w:r>
        <w:rPr>
          <w:rFonts w:ascii="方正仿宋简体" w:hAnsi="方正仿宋简体" w:eastAsia="方正仿宋简体"/>
          <w:color w:val="auto"/>
          <w:sz w:val="32"/>
          <w:szCs w:val="32"/>
          <w:u w:val="single"/>
        </w:rPr>
        <w:t xml:space="preserve"> </w:t>
      </w:r>
    </w:p>
    <w:p>
      <w:pPr>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spacing w:line="360" w:lineRule="auto"/>
        <w:jc w:val="center"/>
        <w:rPr>
          <w:rFonts w:hint="eastAsia" w:ascii="宋体" w:hAnsi="宋体" w:cs="宋体"/>
          <w:b/>
          <w:color w:val="auto"/>
          <w:sz w:val="44"/>
          <w:szCs w:val="44"/>
        </w:rPr>
      </w:pPr>
    </w:p>
    <w:p>
      <w:pPr>
        <w:spacing w:line="360" w:lineRule="auto"/>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b/>
          <w:color w:val="auto"/>
          <w:sz w:val="44"/>
          <w:szCs w:val="44"/>
          <w:lang w:eastAsia="zh-CN"/>
        </w:rPr>
        <w:t>生物制药工艺</w:t>
      </w:r>
      <w:r>
        <w:rPr>
          <w:rFonts w:hint="eastAsia" w:ascii="方正小标宋简体" w:hAnsi="方正小标宋简体" w:eastAsia="方正小标宋简体" w:cs="方正小标宋简体"/>
          <w:b/>
          <w:color w:val="auto"/>
          <w:sz w:val="44"/>
          <w:szCs w:val="44"/>
        </w:rPr>
        <w:t>专业人才培养方案</w:t>
      </w:r>
      <w:bookmarkEnd w:id="0"/>
      <w:bookmarkEnd w:id="1"/>
      <w:bookmarkEnd w:id="2"/>
    </w:p>
    <w:p>
      <w:pPr>
        <w:overflowPunct w:val="0"/>
        <w:adjustRightInd w:val="0"/>
        <w:spacing w:line="560" w:lineRule="exact"/>
        <w:ind w:firstLine="640" w:firstLineChars="200"/>
        <w:outlineLvl w:val="0"/>
        <w:rPr>
          <w:rFonts w:eastAsia="黑体"/>
          <w:color w:val="auto"/>
          <w:sz w:val="32"/>
          <w:szCs w:val="32"/>
        </w:rPr>
      </w:pPr>
      <w:r>
        <w:rPr>
          <w:rFonts w:hint="eastAsia" w:eastAsia="黑体"/>
          <w:color w:val="auto"/>
          <w:sz w:val="32"/>
          <w:szCs w:val="32"/>
        </w:rPr>
        <w:t>一、专业概述</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为适应生物医药产业优化升级需要，对接</w:t>
      </w:r>
      <w:r>
        <w:rPr>
          <w:rFonts w:hint="eastAsia" w:ascii="仿宋" w:hAnsi="仿宋" w:eastAsia="仿宋"/>
          <w:color w:val="auto"/>
          <w:sz w:val="32"/>
          <w:szCs w:val="32"/>
          <w:lang w:eastAsia="zh-CN"/>
        </w:rPr>
        <w:t>生物医药</w:t>
      </w:r>
      <w:r>
        <w:rPr>
          <w:rFonts w:hint="eastAsia" w:ascii="仿宋" w:hAnsi="仿宋" w:eastAsia="仿宋"/>
          <w:color w:val="auto"/>
          <w:sz w:val="32"/>
          <w:szCs w:val="32"/>
        </w:rPr>
        <w:t>产业高端化、集约化</w:t>
      </w:r>
      <w:r>
        <w:rPr>
          <w:rFonts w:hint="eastAsia" w:ascii="仿宋" w:hAnsi="仿宋" w:eastAsia="仿宋"/>
          <w:color w:val="auto"/>
          <w:sz w:val="32"/>
          <w:szCs w:val="32"/>
          <w:lang w:eastAsia="zh-CN"/>
        </w:rPr>
        <w:t>、规模化</w:t>
      </w:r>
      <w:r>
        <w:rPr>
          <w:rFonts w:hint="eastAsia" w:ascii="仿宋" w:hAnsi="仿宋" w:eastAsia="仿宋"/>
          <w:color w:val="auto"/>
          <w:sz w:val="32"/>
          <w:szCs w:val="32"/>
        </w:rPr>
        <w:t>发展新趋势，对接新产业 、新业态、新模式下发酵药</w:t>
      </w:r>
      <w:r>
        <w:rPr>
          <w:rFonts w:hint="eastAsia" w:ascii="仿宋" w:hAnsi="仿宋" w:eastAsia="仿宋"/>
          <w:color w:val="auto"/>
          <w:sz w:val="32"/>
          <w:szCs w:val="32"/>
          <w:lang w:eastAsia="zh-CN"/>
        </w:rPr>
        <w:t>物</w:t>
      </w:r>
      <w:r>
        <w:rPr>
          <w:rFonts w:hint="eastAsia" w:ascii="仿宋" w:hAnsi="仿宋" w:eastAsia="仿宋"/>
          <w:color w:val="auto"/>
          <w:sz w:val="32"/>
          <w:szCs w:val="32"/>
        </w:rPr>
        <w:t>、基因工程药物</w:t>
      </w:r>
      <w:r>
        <w:rPr>
          <w:rFonts w:hint="eastAsia" w:ascii="仿宋" w:hAnsi="仿宋" w:eastAsia="仿宋"/>
          <w:color w:val="auto"/>
          <w:sz w:val="32"/>
          <w:szCs w:val="32"/>
          <w:lang w:eastAsia="zh-CN"/>
        </w:rPr>
        <w:t>生产</w:t>
      </w:r>
      <w:r>
        <w:rPr>
          <w:rFonts w:hint="eastAsia" w:ascii="仿宋" w:hAnsi="仿宋" w:eastAsia="仿宋"/>
          <w:color w:val="auto"/>
          <w:sz w:val="32"/>
          <w:szCs w:val="32"/>
        </w:rPr>
        <w:t>等岗位群的新要求，不断满足</w:t>
      </w:r>
      <w:r>
        <w:rPr>
          <w:rFonts w:hint="eastAsia" w:ascii="仿宋" w:hAnsi="仿宋" w:eastAsia="仿宋"/>
          <w:color w:val="auto"/>
          <w:sz w:val="32"/>
          <w:szCs w:val="32"/>
          <w:lang w:eastAsia="zh-CN"/>
        </w:rPr>
        <w:t>生物医药</w:t>
      </w:r>
      <w:r>
        <w:rPr>
          <w:rFonts w:hint="eastAsia" w:ascii="仿宋" w:hAnsi="仿宋" w:eastAsia="仿宋"/>
          <w:color w:val="auto"/>
          <w:sz w:val="32"/>
          <w:szCs w:val="32"/>
        </w:rPr>
        <w:t>产业高质量发展对高素质劳动者和技术技能人才的需求，推动职业教育专业升级和数字化改造，提高人才培养质量，遵循推进职业教育高质量发展的总体要求，参照国家相关标准编制要求，制订本方案。</w:t>
      </w:r>
    </w:p>
    <w:p>
      <w:pPr>
        <w:overflowPunct w:val="0"/>
        <w:adjustRightInd w:val="0"/>
        <w:spacing w:line="560" w:lineRule="exact"/>
        <w:ind w:firstLine="640" w:firstLineChars="200"/>
        <w:outlineLvl w:val="0"/>
        <w:rPr>
          <w:rFonts w:eastAsia="黑体"/>
          <w:color w:val="auto"/>
          <w:sz w:val="32"/>
          <w:szCs w:val="32"/>
        </w:rPr>
      </w:pPr>
      <w:r>
        <w:rPr>
          <w:rFonts w:hint="eastAsia" w:eastAsia="黑体"/>
          <w:color w:val="auto"/>
          <w:sz w:val="32"/>
          <w:szCs w:val="32"/>
        </w:rPr>
        <w:t>二</w:t>
      </w:r>
      <w:r>
        <w:rPr>
          <w:rFonts w:eastAsia="黑体"/>
          <w:color w:val="auto"/>
          <w:sz w:val="32"/>
          <w:szCs w:val="32"/>
        </w:rPr>
        <w:t>、专业名称及代码</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专业名称：生物制药工艺</w:t>
      </w:r>
    </w:p>
    <w:p>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专业代码：</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9020</w:t>
      </w:r>
      <w:r>
        <w:rPr>
          <w:rFonts w:hint="eastAsia" w:ascii="仿宋" w:hAnsi="仿宋" w:eastAsia="仿宋" w:cs="仿宋"/>
          <w:color w:val="auto"/>
          <w:sz w:val="32"/>
          <w:szCs w:val="32"/>
          <w:lang w:val="en-US" w:eastAsia="zh-CN"/>
        </w:rPr>
        <w:t>2</w:t>
      </w:r>
    </w:p>
    <w:p>
      <w:pPr>
        <w:overflowPunct w:val="0"/>
        <w:adjustRightInd w:val="0"/>
        <w:spacing w:line="560" w:lineRule="exact"/>
        <w:ind w:firstLine="640" w:firstLineChars="200"/>
        <w:outlineLvl w:val="0"/>
        <w:rPr>
          <w:rFonts w:eastAsia="黑体"/>
          <w:color w:val="auto"/>
          <w:sz w:val="32"/>
          <w:szCs w:val="32"/>
        </w:rPr>
      </w:pPr>
      <w:r>
        <w:rPr>
          <w:rFonts w:hint="eastAsia" w:eastAsia="黑体"/>
          <w:color w:val="auto"/>
          <w:sz w:val="32"/>
          <w:szCs w:val="32"/>
        </w:rPr>
        <w:t>三</w:t>
      </w:r>
      <w:r>
        <w:rPr>
          <w:rFonts w:eastAsia="黑体"/>
          <w:color w:val="auto"/>
          <w:sz w:val="32"/>
          <w:szCs w:val="32"/>
        </w:rPr>
        <w:t>、入学要求</w:t>
      </w:r>
    </w:p>
    <w:p>
      <w:pPr>
        <w:overflowPunct w:val="0"/>
        <w:adjustRightInd w:val="0"/>
        <w:spacing w:line="560" w:lineRule="exact"/>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初中毕业生或具有同等学力者。</w:t>
      </w:r>
    </w:p>
    <w:p>
      <w:pPr>
        <w:overflowPunct w:val="0"/>
        <w:adjustRightInd w:val="0"/>
        <w:spacing w:line="560" w:lineRule="exact"/>
        <w:ind w:firstLine="640" w:firstLineChars="200"/>
        <w:outlineLvl w:val="0"/>
        <w:rPr>
          <w:rFonts w:eastAsia="黑体"/>
          <w:color w:val="auto"/>
          <w:sz w:val="32"/>
          <w:szCs w:val="32"/>
        </w:rPr>
      </w:pPr>
      <w:r>
        <w:rPr>
          <w:rFonts w:hint="eastAsia" w:eastAsia="黑体"/>
          <w:color w:val="auto"/>
          <w:sz w:val="32"/>
          <w:szCs w:val="32"/>
        </w:rPr>
        <w:t>四</w:t>
      </w:r>
      <w:r>
        <w:rPr>
          <w:rFonts w:eastAsia="黑体"/>
          <w:color w:val="auto"/>
          <w:sz w:val="32"/>
          <w:szCs w:val="32"/>
        </w:rPr>
        <w:t>、修业年限</w:t>
      </w:r>
    </w:p>
    <w:p>
      <w:pPr>
        <w:spacing w:line="560" w:lineRule="exact"/>
        <w:ind w:firstLine="1280" w:firstLineChars="400"/>
        <w:rPr>
          <w:rFonts w:ascii="仿宋" w:hAnsi="仿宋" w:eastAsia="仿宋" w:cs="Times New Roman"/>
          <w:color w:val="auto"/>
          <w:sz w:val="32"/>
          <w:szCs w:val="32"/>
        </w:rPr>
      </w:pPr>
      <w:r>
        <w:rPr>
          <w:rFonts w:hint="eastAsia" w:ascii="仿宋" w:hAnsi="仿宋" w:eastAsia="仿宋" w:cs="Times New Roman"/>
          <w:color w:val="auto"/>
          <w:sz w:val="32"/>
          <w:szCs w:val="32"/>
        </w:rPr>
        <w:t>三年</w:t>
      </w:r>
    </w:p>
    <w:p>
      <w:pPr>
        <w:overflowPunct w:val="0"/>
        <w:adjustRightInd w:val="0"/>
        <w:spacing w:line="560" w:lineRule="exact"/>
        <w:ind w:firstLine="640" w:firstLineChars="200"/>
        <w:outlineLvl w:val="0"/>
        <w:rPr>
          <w:rFonts w:eastAsia="黑体"/>
          <w:color w:val="auto"/>
          <w:sz w:val="32"/>
          <w:szCs w:val="32"/>
        </w:rPr>
      </w:pPr>
      <w:r>
        <w:rPr>
          <w:rFonts w:hint="eastAsia" w:eastAsia="黑体"/>
          <w:color w:val="auto"/>
          <w:sz w:val="32"/>
          <w:szCs w:val="32"/>
        </w:rPr>
        <w:t>五</w:t>
      </w:r>
      <w:r>
        <w:rPr>
          <w:rFonts w:eastAsia="黑体"/>
          <w:color w:val="auto"/>
          <w:sz w:val="32"/>
          <w:szCs w:val="32"/>
        </w:rPr>
        <w:t>、职业面向</w:t>
      </w:r>
    </w:p>
    <w:p>
      <w:pPr>
        <w:spacing w:line="560" w:lineRule="exact"/>
        <w:ind w:firstLine="584"/>
        <w:rPr>
          <w:rFonts w:ascii="仿宋" w:hAnsi="仿宋" w:eastAsia="仿宋" w:cs="Times New Roman"/>
          <w:color w:val="auto"/>
          <w:sz w:val="32"/>
          <w:szCs w:val="32"/>
        </w:rPr>
      </w:pPr>
      <w:r>
        <w:rPr>
          <w:rFonts w:hint="eastAsia" w:ascii="仿宋" w:hAnsi="仿宋" w:eastAsia="仿宋" w:cs="Times New Roman"/>
          <w:color w:val="auto"/>
          <w:sz w:val="32"/>
          <w:szCs w:val="32"/>
        </w:rPr>
        <w:t>本专业的职业面向主要是在</w:t>
      </w:r>
      <w:r>
        <w:rPr>
          <w:rFonts w:hint="eastAsia" w:ascii="仿宋" w:hAnsi="仿宋" w:eastAsia="仿宋" w:cs="Times New Roman"/>
          <w:color w:val="auto"/>
          <w:sz w:val="32"/>
          <w:szCs w:val="32"/>
          <w:lang w:eastAsia="zh-CN"/>
        </w:rPr>
        <w:t>生物医药产业的发酵生产、</w:t>
      </w:r>
      <w:r>
        <w:rPr>
          <w:rFonts w:hint="eastAsia" w:ascii="仿宋" w:hAnsi="仿宋" w:eastAsia="仿宋" w:cs="Times New Roman"/>
          <w:color w:val="auto"/>
          <w:sz w:val="32"/>
          <w:szCs w:val="32"/>
        </w:rPr>
        <w:t>制剂生产、基因工程药物、药物制剂质量控制。</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ascii="仿宋" w:hAnsi="仿宋" w:eastAsia="仿宋" w:cs="Times New Roman"/>
                <w:color w:val="auto"/>
                <w:sz w:val="24"/>
              </w:rPr>
            </w:pPr>
            <w:r>
              <w:rPr>
                <w:rFonts w:hint="eastAsia" w:ascii="仿宋" w:hAnsi="仿宋" w:eastAsia="仿宋" w:cs="Times New Roman"/>
                <w:color w:val="auto"/>
                <w:sz w:val="24"/>
              </w:rPr>
              <w:t>所属专业大类</w:t>
            </w:r>
          </w:p>
          <w:p>
            <w:pPr>
              <w:jc w:val="center"/>
              <w:rPr>
                <w:rFonts w:ascii="仿宋" w:hAnsi="仿宋" w:eastAsia="仿宋" w:cs="Times New Roman"/>
                <w:color w:val="auto"/>
                <w:sz w:val="32"/>
                <w:szCs w:val="32"/>
              </w:rPr>
            </w:pPr>
            <w:r>
              <w:rPr>
                <w:rFonts w:hint="eastAsia" w:ascii="仿宋" w:hAnsi="仿宋" w:eastAsia="仿宋" w:cs="Times New Roman"/>
                <w:color w:val="auto"/>
                <w:sz w:val="24"/>
              </w:rPr>
              <w:t>（代码</w:t>
            </w:r>
            <w:r>
              <w:rPr>
                <w:rFonts w:ascii="仿宋" w:hAnsi="仿宋" w:eastAsia="仿宋" w:cs="Times New Roman"/>
                <w:color w:val="auto"/>
                <w:sz w:val="24"/>
              </w:rPr>
              <w:t>）</w:t>
            </w:r>
          </w:p>
        </w:tc>
        <w:tc>
          <w:tcPr>
            <w:tcW w:w="6884" w:type="dxa"/>
          </w:tcPr>
          <w:p>
            <w:pPr>
              <w:spacing w:line="560" w:lineRule="exact"/>
              <w:rPr>
                <w:rFonts w:ascii="仿宋" w:hAnsi="仿宋" w:eastAsia="仿宋" w:cs="Times New Roman"/>
                <w:color w:val="auto"/>
                <w:sz w:val="32"/>
                <w:szCs w:val="32"/>
              </w:rPr>
            </w:pPr>
            <w:r>
              <w:rPr>
                <w:rFonts w:hint="eastAsia" w:ascii="仿宋" w:hAnsi="仿宋" w:eastAsia="仿宋" w:cs="Times New Roman"/>
                <w:color w:val="auto"/>
                <w:sz w:val="24"/>
              </w:rPr>
              <w:t>食品药品与粮食大类（</w:t>
            </w:r>
            <w:r>
              <w:rPr>
                <w:rFonts w:hint="eastAsia" w:ascii="仿宋" w:hAnsi="仿宋" w:eastAsia="仿宋" w:cs="Times New Roman"/>
                <w:color w:val="auto"/>
                <w:sz w:val="24"/>
                <w:lang w:val="en-US" w:eastAsia="zh-CN"/>
              </w:rPr>
              <w:t>69</w:t>
            </w:r>
            <w:r>
              <w:rPr>
                <w:rFonts w:hint="eastAsia" w:ascii="仿宋" w:hAnsi="仿宋" w:eastAsia="仿宋" w:cs="Times New Roman"/>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ascii="仿宋" w:hAnsi="仿宋" w:eastAsia="仿宋" w:cs="Times New Roman"/>
                <w:color w:val="auto"/>
                <w:sz w:val="24"/>
              </w:rPr>
            </w:pPr>
            <w:r>
              <w:rPr>
                <w:rFonts w:hint="eastAsia" w:ascii="仿宋" w:hAnsi="仿宋" w:eastAsia="仿宋" w:cs="Times New Roman"/>
                <w:color w:val="auto"/>
                <w:sz w:val="24"/>
              </w:rPr>
              <w:t>所属专业类</w:t>
            </w:r>
          </w:p>
          <w:p>
            <w:pPr>
              <w:jc w:val="center"/>
              <w:rPr>
                <w:rFonts w:ascii="仿宋" w:hAnsi="仿宋" w:eastAsia="仿宋" w:cs="Times New Roman"/>
                <w:color w:val="auto"/>
                <w:sz w:val="32"/>
                <w:szCs w:val="32"/>
              </w:rPr>
            </w:pPr>
            <w:r>
              <w:rPr>
                <w:rFonts w:hint="eastAsia" w:ascii="仿宋" w:hAnsi="仿宋" w:eastAsia="仿宋" w:cs="Times New Roman"/>
                <w:color w:val="auto"/>
                <w:sz w:val="24"/>
              </w:rPr>
              <w:t>（代码）</w:t>
            </w:r>
          </w:p>
        </w:tc>
        <w:tc>
          <w:tcPr>
            <w:tcW w:w="6884" w:type="dxa"/>
          </w:tcPr>
          <w:p>
            <w:pPr>
              <w:spacing w:line="560" w:lineRule="exact"/>
              <w:rPr>
                <w:rFonts w:ascii="仿宋" w:hAnsi="仿宋" w:eastAsia="仿宋" w:cs="Times New Roman"/>
                <w:color w:val="auto"/>
                <w:sz w:val="32"/>
                <w:szCs w:val="32"/>
              </w:rPr>
            </w:pPr>
            <w:r>
              <w:rPr>
                <w:rFonts w:hint="eastAsia" w:ascii="仿宋" w:hAnsi="仿宋" w:eastAsia="仿宋" w:cs="Times New Roman"/>
                <w:color w:val="auto"/>
                <w:sz w:val="24"/>
              </w:rPr>
              <w:t>药品与医疗器械类（</w:t>
            </w:r>
            <w:r>
              <w:rPr>
                <w:rFonts w:hint="eastAsia" w:ascii="仿宋" w:hAnsi="仿宋" w:eastAsia="仿宋" w:cs="Times New Roman"/>
                <w:color w:val="auto"/>
                <w:sz w:val="24"/>
                <w:lang w:val="en-US" w:eastAsia="zh-CN"/>
              </w:rPr>
              <w:t>6902</w:t>
            </w:r>
            <w:r>
              <w:rPr>
                <w:rFonts w:hint="eastAsia" w:ascii="仿宋" w:hAnsi="仿宋" w:eastAsia="仿宋" w:cs="Times New Roman"/>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ascii="仿宋" w:hAnsi="仿宋" w:eastAsia="仿宋" w:cs="Times New Roman"/>
                <w:color w:val="auto"/>
                <w:sz w:val="24"/>
              </w:rPr>
            </w:pPr>
            <w:r>
              <w:rPr>
                <w:rFonts w:hint="eastAsia" w:ascii="仿宋" w:hAnsi="仿宋" w:eastAsia="仿宋" w:cs="Times New Roman"/>
                <w:color w:val="auto"/>
                <w:sz w:val="24"/>
              </w:rPr>
              <w:t>对应行业</w:t>
            </w:r>
          </w:p>
          <w:p>
            <w:pPr>
              <w:jc w:val="center"/>
              <w:rPr>
                <w:rFonts w:ascii="仿宋" w:hAnsi="仿宋" w:eastAsia="仿宋" w:cs="Times New Roman"/>
                <w:color w:val="auto"/>
                <w:sz w:val="24"/>
              </w:rPr>
            </w:pPr>
            <w:r>
              <w:rPr>
                <w:rFonts w:hint="eastAsia" w:ascii="仿宋" w:hAnsi="仿宋" w:eastAsia="仿宋" w:cs="Times New Roman"/>
                <w:color w:val="auto"/>
                <w:sz w:val="24"/>
              </w:rPr>
              <w:t>（代码）</w:t>
            </w:r>
          </w:p>
        </w:tc>
        <w:tc>
          <w:tcPr>
            <w:tcW w:w="6884" w:type="dxa"/>
          </w:tcPr>
          <w:p>
            <w:pPr>
              <w:rPr>
                <w:rFonts w:ascii="仿宋" w:hAnsi="仿宋" w:eastAsia="仿宋" w:cs="Times New Roman"/>
                <w:color w:val="auto"/>
                <w:sz w:val="24"/>
              </w:rPr>
            </w:pPr>
            <w:r>
              <w:rPr>
                <w:rFonts w:hint="eastAsia" w:ascii="仿宋" w:hAnsi="仿宋" w:eastAsia="仿宋" w:cs="Times New Roman"/>
                <w:color w:val="auto"/>
                <w:sz w:val="24"/>
              </w:rPr>
              <w:t>医药制造业（</w:t>
            </w:r>
            <w:r>
              <w:rPr>
                <w:rFonts w:hint="eastAsia" w:ascii="仿宋" w:hAnsi="仿宋" w:eastAsia="仿宋" w:cs="Times New Roman"/>
                <w:color w:val="auto"/>
                <w:sz w:val="24"/>
                <w:lang w:val="en-US" w:eastAsia="zh-CN"/>
              </w:rPr>
              <w:t>27</w:t>
            </w:r>
            <w:r>
              <w:rPr>
                <w:rFonts w:hint="eastAsia" w:ascii="仿宋" w:hAnsi="仿宋" w:eastAsia="仿宋" w:cs="Times New Roman"/>
                <w:color w:val="auto"/>
                <w:sz w:val="24"/>
              </w:rPr>
              <w:t>）；批发（51）；</w:t>
            </w:r>
            <w:r>
              <w:rPr>
                <w:rFonts w:hint="eastAsia" w:ascii="仿宋" w:hAnsi="仿宋" w:eastAsia="仿宋" w:cs="Times New Roman"/>
                <w:color w:val="auto"/>
                <w:sz w:val="24"/>
                <w:lang w:eastAsia="zh-CN"/>
              </w:rPr>
              <w:t>零售业</w:t>
            </w:r>
            <w:r>
              <w:rPr>
                <w:rFonts w:hint="eastAsia" w:ascii="仿宋" w:hAnsi="仿宋" w:eastAsia="仿宋" w:cs="Times New Roman"/>
                <w:color w:val="auto"/>
                <w:sz w:val="24"/>
              </w:rPr>
              <w:t>（5</w:t>
            </w:r>
            <w:r>
              <w:rPr>
                <w:rFonts w:hint="eastAsia" w:ascii="仿宋" w:hAnsi="仿宋" w:eastAsia="仿宋" w:cs="Times New Roman"/>
                <w:color w:val="auto"/>
                <w:sz w:val="24"/>
                <w:lang w:val="en-US" w:eastAsia="zh-CN"/>
              </w:rPr>
              <w:t>2</w:t>
            </w:r>
            <w:r>
              <w:rPr>
                <w:rFonts w:hint="eastAsia" w:ascii="仿宋" w:hAnsi="仿宋" w:eastAsia="仿宋" w:cs="Times New Roman"/>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ascii="仿宋" w:hAnsi="仿宋" w:eastAsia="仿宋" w:cs="Times New Roman"/>
                <w:color w:val="auto"/>
                <w:sz w:val="24"/>
              </w:rPr>
            </w:pPr>
            <w:r>
              <w:rPr>
                <w:rFonts w:hint="eastAsia" w:ascii="仿宋" w:hAnsi="仿宋" w:eastAsia="仿宋" w:cs="Times New Roman"/>
                <w:color w:val="auto"/>
                <w:sz w:val="24"/>
              </w:rPr>
              <w:t>主要职业类别（代码）</w:t>
            </w:r>
          </w:p>
        </w:tc>
        <w:tc>
          <w:tcPr>
            <w:tcW w:w="6884" w:type="dxa"/>
          </w:tcPr>
          <w:p>
            <w:pPr>
              <w:rPr>
                <w:rFonts w:hint="eastAsia" w:ascii="仿宋" w:hAnsi="仿宋" w:eastAsia="仿宋" w:cs="Times New Roman"/>
                <w:color w:val="auto"/>
                <w:sz w:val="24"/>
              </w:rPr>
            </w:pPr>
            <w:r>
              <w:rPr>
                <w:rFonts w:hint="eastAsia" w:ascii="仿宋" w:hAnsi="仿宋" w:eastAsia="仿宋" w:cs="Times New Roman"/>
                <w:color w:val="auto"/>
                <w:sz w:val="24"/>
              </w:rPr>
              <w:t xml:space="preserve"> 药物制剂工（6-14-03-01</w:t>
            </w:r>
            <w:r>
              <w:rPr>
                <w:rFonts w:hint="eastAsia" w:ascii="仿宋" w:hAnsi="仿宋" w:eastAsia="仿宋" w:cs="Times New Roman"/>
                <w:color w:val="auto"/>
                <w:sz w:val="24"/>
                <w:lang w:eastAsia="zh-CN"/>
              </w:rPr>
              <w:t>）</w:t>
            </w:r>
            <w:r>
              <w:rPr>
                <w:rFonts w:hint="eastAsia" w:ascii="仿宋" w:hAnsi="仿宋" w:eastAsia="仿宋" w:cs="Times New Roman"/>
                <w:color w:val="auto"/>
                <w:sz w:val="24"/>
              </w:rPr>
              <w:t>； 其他药物制剂人员</w:t>
            </w:r>
            <w:r>
              <w:rPr>
                <w:rFonts w:hint="eastAsia" w:ascii="仿宋" w:hAnsi="仿宋" w:eastAsia="仿宋" w:cs="Times New Roman"/>
                <w:color w:val="auto"/>
                <w:sz w:val="24"/>
                <w:lang w:eastAsia="zh-CN"/>
              </w:rPr>
              <w:t>（</w:t>
            </w:r>
            <w:r>
              <w:rPr>
                <w:rFonts w:hint="eastAsia" w:ascii="仿宋" w:hAnsi="仿宋" w:eastAsia="仿宋" w:cs="Times New Roman"/>
                <w:color w:val="auto"/>
                <w:sz w:val="24"/>
              </w:rPr>
              <w:t>6-14-03-99</w:t>
            </w:r>
            <w:r>
              <w:rPr>
                <w:rFonts w:hint="eastAsia" w:ascii="仿宋" w:hAnsi="仿宋" w:eastAsia="仿宋" w:cs="Times New Roman"/>
                <w:color w:val="auto"/>
                <w:sz w:val="24"/>
                <w:lang w:eastAsia="zh-CN"/>
              </w:rPr>
              <w:t>）</w:t>
            </w:r>
          </w:p>
          <w:p>
            <w:pPr>
              <w:rPr>
                <w:rFonts w:ascii="仿宋" w:hAnsi="仿宋" w:eastAsia="仿宋" w:cs="Times New Roman"/>
                <w:color w:val="auto"/>
                <w:sz w:val="24"/>
              </w:rPr>
            </w:pPr>
            <w:r>
              <w:rPr>
                <w:rFonts w:hint="eastAsia" w:ascii="仿宋" w:hAnsi="仿宋" w:eastAsia="仿宋" w:cs="Times New Roman"/>
                <w:color w:val="auto"/>
                <w:sz w:val="24"/>
              </w:rPr>
              <w:t xml:space="preserve"> 其他药品生产人员（6-14-99-00）</w:t>
            </w:r>
            <w:r>
              <w:rPr>
                <w:rFonts w:hint="eastAsia" w:ascii="仿宋" w:hAnsi="仿宋" w:eastAsia="仿宋" w:cs="Times New Roman"/>
                <w:color w:val="auto"/>
                <w:sz w:val="24"/>
                <w:lang w:eastAsia="zh-CN"/>
              </w:rPr>
              <w:t>药物检验工（6-26-01-21）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ascii="仿宋" w:hAnsi="仿宋" w:eastAsia="仿宋" w:cs="Times New Roman"/>
                <w:color w:val="auto"/>
                <w:sz w:val="24"/>
              </w:rPr>
            </w:pPr>
            <w:r>
              <w:rPr>
                <w:rFonts w:hint="eastAsia" w:ascii="仿宋" w:hAnsi="仿宋" w:eastAsia="仿宋" w:cs="Times New Roman"/>
                <w:color w:val="auto"/>
                <w:sz w:val="24"/>
              </w:rPr>
              <w:t>主要岗位类别</w:t>
            </w:r>
          </w:p>
          <w:p>
            <w:pPr>
              <w:jc w:val="center"/>
              <w:rPr>
                <w:rFonts w:ascii="仿宋" w:hAnsi="仿宋" w:eastAsia="仿宋" w:cs="Times New Roman"/>
                <w:color w:val="auto"/>
                <w:sz w:val="24"/>
              </w:rPr>
            </w:pPr>
            <w:r>
              <w:rPr>
                <w:rFonts w:hint="eastAsia" w:ascii="仿宋" w:hAnsi="仿宋" w:eastAsia="仿宋" w:cs="Times New Roman"/>
                <w:color w:val="auto"/>
                <w:sz w:val="24"/>
              </w:rPr>
              <w:t>（或技术领域）</w:t>
            </w:r>
          </w:p>
        </w:tc>
        <w:tc>
          <w:tcPr>
            <w:tcW w:w="6884" w:type="dxa"/>
          </w:tcPr>
          <w:p>
            <w:pPr>
              <w:rPr>
                <w:rFonts w:ascii="仿宋" w:hAnsi="仿宋" w:eastAsia="仿宋" w:cs="Times New Roman"/>
                <w:color w:val="auto"/>
                <w:sz w:val="24"/>
              </w:rPr>
            </w:pPr>
            <w:r>
              <w:rPr>
                <w:rFonts w:hint="eastAsia" w:ascii="仿宋" w:hAnsi="仿宋" w:eastAsia="仿宋" w:cs="Times New Roman"/>
                <w:color w:val="auto"/>
                <w:sz w:val="24"/>
              </w:rPr>
              <w:t>发酵生产、制剂生产、基因工程药物、药物制剂质量控制</w:t>
            </w:r>
            <w:r>
              <w:rPr>
                <w:rFonts w:hint="eastAsia" w:ascii="仿宋" w:hAnsi="仿宋" w:eastAsia="仿宋" w:cs="Times New Roman"/>
                <w:color w:val="auto"/>
                <w:sz w:val="24"/>
                <w:lang w:eastAsia="zh-CN"/>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仿宋" w:hAnsi="仿宋" w:eastAsia="仿宋" w:cs="Times New Roman"/>
                <w:color w:val="auto"/>
                <w:sz w:val="24"/>
              </w:rPr>
            </w:pPr>
            <w:r>
              <w:rPr>
                <w:rFonts w:hint="eastAsia" w:ascii="仿宋" w:hAnsi="仿宋" w:eastAsia="仿宋" w:cs="Times New Roman"/>
                <w:color w:val="auto"/>
                <w:sz w:val="24"/>
              </w:rPr>
              <w:t>职业类证书举例</w:t>
            </w:r>
          </w:p>
        </w:tc>
        <w:tc>
          <w:tcPr>
            <w:tcW w:w="6884" w:type="dxa"/>
          </w:tcPr>
          <w:p>
            <w:pPr>
              <w:rPr>
                <w:rFonts w:ascii="仿宋" w:hAnsi="仿宋" w:eastAsia="仿宋" w:cs="Times New Roman"/>
                <w:color w:val="auto"/>
                <w:sz w:val="24"/>
              </w:rPr>
            </w:pPr>
            <w:r>
              <w:rPr>
                <w:rFonts w:hint="eastAsia" w:ascii="仿宋" w:hAnsi="仿宋" w:eastAsia="仿宋" w:cs="Times New Roman"/>
                <w:color w:val="auto"/>
                <w:sz w:val="24"/>
                <w:lang w:val="en-US" w:eastAsia="zh-CN"/>
              </w:rPr>
              <w:t>1+X</w:t>
            </w:r>
            <w:r>
              <w:rPr>
                <w:rFonts w:hint="eastAsia" w:ascii="仿宋" w:hAnsi="仿宋" w:eastAsia="仿宋" w:cs="Times New Roman"/>
                <w:color w:val="auto"/>
                <w:sz w:val="24"/>
              </w:rPr>
              <w:t>药物制剂生产职业技能等级证书；</w:t>
            </w:r>
          </w:p>
          <w:p>
            <w:pPr>
              <w:rPr>
                <w:rFonts w:ascii="仿宋" w:hAnsi="仿宋" w:eastAsia="仿宋" w:cs="Times New Roman"/>
                <w:color w:val="auto"/>
                <w:sz w:val="24"/>
              </w:rPr>
            </w:pPr>
            <w:r>
              <w:rPr>
                <w:rFonts w:hint="eastAsia" w:ascii="仿宋" w:hAnsi="仿宋" w:eastAsia="仿宋" w:cs="Times New Roman"/>
                <w:color w:val="auto"/>
                <w:sz w:val="24"/>
                <w:lang w:val="en-US" w:eastAsia="zh-CN"/>
              </w:rPr>
              <w:t>1+X</w:t>
            </w:r>
            <w:r>
              <w:rPr>
                <w:rFonts w:hint="eastAsia" w:ascii="仿宋" w:hAnsi="仿宋" w:eastAsia="仿宋" w:cs="Times New Roman"/>
                <w:color w:val="auto"/>
                <w:sz w:val="24"/>
              </w:rPr>
              <w:t>药</w:t>
            </w:r>
            <w:r>
              <w:rPr>
                <w:rFonts w:hint="eastAsia" w:ascii="仿宋" w:hAnsi="仿宋" w:eastAsia="仿宋" w:cs="Times New Roman"/>
                <w:color w:val="auto"/>
                <w:sz w:val="24"/>
                <w:lang w:eastAsia="zh-CN"/>
              </w:rPr>
              <w:t>品营销</w:t>
            </w:r>
            <w:r>
              <w:rPr>
                <w:rFonts w:hint="eastAsia" w:ascii="仿宋" w:hAnsi="仿宋" w:eastAsia="仿宋" w:cs="Times New Roman"/>
                <w:color w:val="auto"/>
                <w:sz w:val="24"/>
              </w:rPr>
              <w:t>生产职业技能等级证书。</w:t>
            </w:r>
          </w:p>
        </w:tc>
      </w:tr>
    </w:tbl>
    <w:p>
      <w:pPr>
        <w:overflowPunct w:val="0"/>
        <w:adjustRightInd w:val="0"/>
        <w:ind w:firstLine="640" w:firstLineChars="200"/>
        <w:outlineLvl w:val="0"/>
        <w:rPr>
          <w:rFonts w:eastAsia="黑体"/>
          <w:color w:val="auto"/>
          <w:sz w:val="32"/>
          <w:szCs w:val="32"/>
        </w:rPr>
      </w:pPr>
      <w:r>
        <w:rPr>
          <w:rFonts w:hint="eastAsia" w:eastAsia="黑体"/>
          <w:color w:val="auto"/>
          <w:sz w:val="32"/>
          <w:szCs w:val="32"/>
        </w:rPr>
        <w:t>六</w:t>
      </w:r>
      <w:r>
        <w:rPr>
          <w:rFonts w:eastAsia="黑体"/>
          <w:color w:val="auto"/>
          <w:sz w:val="32"/>
          <w:szCs w:val="32"/>
        </w:rPr>
        <w:t>、培养目标与培养规格</w:t>
      </w:r>
    </w:p>
    <w:p>
      <w:pPr>
        <w:overflowPunct w:val="0"/>
        <w:adjustRightInd w:val="0"/>
        <w:spacing w:line="560" w:lineRule="exact"/>
        <w:ind w:firstLine="640" w:firstLineChars="200"/>
        <w:outlineLvl w:val="0"/>
        <w:rPr>
          <w:rFonts w:hint="eastAsia" w:ascii="仿宋" w:hAnsi="仿宋" w:eastAsia="仿宋"/>
          <w:color w:val="auto"/>
          <w:sz w:val="32"/>
          <w:szCs w:val="32"/>
          <w:lang w:eastAsia="zh-CN"/>
        </w:rPr>
      </w:pPr>
      <w:r>
        <w:rPr>
          <w:rFonts w:hint="eastAsia" w:ascii="仿宋" w:hAnsi="仿宋" w:eastAsia="仿宋"/>
          <w:color w:val="auto"/>
          <w:sz w:val="32"/>
          <w:szCs w:val="32"/>
        </w:rPr>
        <w:t>本专业培养能够践行社会主义核心价值观</w:t>
      </w:r>
      <w:r>
        <w:rPr>
          <w:rFonts w:hint="eastAsia" w:ascii="仿宋" w:hAnsi="仿宋" w:eastAsia="仿宋"/>
          <w:color w:val="auto"/>
          <w:sz w:val="32"/>
          <w:szCs w:val="32"/>
          <w:lang w:eastAsia="zh-CN"/>
        </w:rPr>
        <w:t>，</w:t>
      </w:r>
      <w:r>
        <w:rPr>
          <w:rFonts w:hint="eastAsia" w:ascii="仿宋" w:hAnsi="仿宋" w:eastAsia="仿宋"/>
          <w:color w:val="auto"/>
          <w:sz w:val="32"/>
          <w:szCs w:val="32"/>
        </w:rPr>
        <w:t>德智体美劳全面发展，具有良好的科学与人文素养、职业道德和精益求精的工匠精神，扎实的文化基础知识、较强的就业创业能力和学习能力和掌握扎实的科学文化基础和培养基制备、无菌操作、原材料预处理等知识及相关法律法规，具备菌种选育、分离纯化等能力，具有工匠精神和信息素养，能够从事生化药品制造、发酵过程控制、疫苗制品生产等工作的技术技能人才</w:t>
      </w:r>
      <w:r>
        <w:rPr>
          <w:rFonts w:hint="eastAsia" w:ascii="仿宋" w:hAnsi="仿宋" w:eastAsia="仿宋"/>
          <w:color w:val="auto"/>
          <w:sz w:val="32"/>
          <w:szCs w:val="32"/>
          <w:lang w:eastAsia="zh-CN"/>
        </w:rPr>
        <w:t>。</w:t>
      </w:r>
    </w:p>
    <w:p>
      <w:pPr>
        <w:overflowPunct w:val="0"/>
        <w:adjustRightInd w:val="0"/>
        <w:spacing w:line="560" w:lineRule="exact"/>
        <w:ind w:firstLine="643" w:firstLineChars="200"/>
        <w:outlineLvl w:val="0"/>
        <w:rPr>
          <w:rFonts w:eastAsia="楷体_GB2312"/>
          <w:b/>
          <w:color w:val="auto"/>
          <w:sz w:val="32"/>
          <w:szCs w:val="32"/>
        </w:rPr>
      </w:pPr>
      <w:r>
        <w:rPr>
          <w:rFonts w:eastAsia="楷体_GB2312"/>
          <w:b/>
          <w:color w:val="auto"/>
          <w:sz w:val="32"/>
          <w:szCs w:val="32"/>
        </w:rPr>
        <w:t>（二）培养规格</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本专业学生应在系统学习本专业知识并完成有关实习实训基础上，全面提升素质、知识、能力，掌握并实际运用岗位（群）需要的专业技术技能，总体上须达到以下要求。</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1．坚定拥护中国共产党领导和中国特色社会主义制度，以习近平新时代中国特色社会主义思想为指导，践行社会主义核心价值观，具有坚定的理想信念、深厚的爱国情感和中华民族自豪感；</w:t>
      </w:r>
    </w:p>
    <w:p>
      <w:pPr>
        <w:spacing w:line="560" w:lineRule="exact"/>
        <w:rPr>
          <w:rFonts w:ascii="仿宋" w:hAnsi="仿宋" w:eastAsia="仿宋" w:cs="仿宋"/>
          <w:color w:val="auto"/>
          <w:sz w:val="32"/>
          <w:szCs w:val="32"/>
        </w:rPr>
      </w:pPr>
      <w:r>
        <w:rPr>
          <w:rFonts w:hint="eastAsia" w:ascii="仿宋" w:hAnsi="仿宋" w:eastAsia="仿宋" w:cs="仿宋"/>
          <w:color w:val="auto"/>
          <w:sz w:val="32"/>
          <w:szCs w:val="32"/>
        </w:rPr>
        <w:t xml:space="preserve"> </w:t>
      </w:r>
      <w:r>
        <w:rPr>
          <w:rFonts w:ascii="仿宋" w:hAnsi="仿宋" w:eastAsia="仿宋" w:cs="仿宋"/>
          <w:color w:val="auto"/>
          <w:sz w:val="32"/>
          <w:szCs w:val="32"/>
        </w:rPr>
        <w:t xml:space="preserve">   2</w:t>
      </w:r>
      <w:r>
        <w:rPr>
          <w:rFonts w:hint="eastAsia" w:ascii="仿宋" w:hAnsi="仿宋" w:eastAsia="仿宋" w:cs="仿宋"/>
          <w:color w:val="auto"/>
          <w:sz w:val="32"/>
          <w:szCs w:val="32"/>
        </w:rPr>
        <w:t>．具有国防观念和国家安全意识，具备强烈的集体主义观念和吃苦耐劳的作风，了解基本的国防知识，掌握初步的军事技能；</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3．能够熟练掌握与本专业从事职业活动相关的国家法律、行业规定，掌握绿色生产、环境保护、安全防护、质量管理等相关知识与技能，了解</w:t>
      </w:r>
      <w:r>
        <w:rPr>
          <w:rFonts w:hint="eastAsia" w:ascii="仿宋" w:hAnsi="仿宋" w:eastAsia="仿宋" w:cs="仿宋"/>
          <w:color w:val="auto"/>
          <w:sz w:val="32"/>
          <w:szCs w:val="32"/>
          <w:lang w:eastAsia="zh-CN"/>
        </w:rPr>
        <w:t>医药行业的</w:t>
      </w:r>
      <w:r>
        <w:rPr>
          <w:rFonts w:hint="eastAsia" w:ascii="仿宋" w:hAnsi="仿宋" w:eastAsia="仿宋" w:cs="仿宋"/>
          <w:color w:val="auto"/>
          <w:sz w:val="32"/>
          <w:szCs w:val="32"/>
        </w:rPr>
        <w:t>产业文化；</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4．掌握支撑本专业学习和可持续发展必备的</w:t>
      </w:r>
      <w:r>
        <w:rPr>
          <w:rFonts w:hint="eastAsia" w:ascii="仿宋" w:hAnsi="仿宋" w:eastAsia="仿宋" w:cs="仿宋"/>
          <w:color w:val="auto"/>
          <w:sz w:val="32"/>
          <w:szCs w:val="32"/>
          <w:lang w:eastAsia="zh-CN"/>
        </w:rPr>
        <w:t>化学</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语文</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数学</w:t>
      </w:r>
      <w:r>
        <w:rPr>
          <w:rFonts w:hint="eastAsia" w:ascii="仿宋" w:hAnsi="仿宋" w:eastAsia="仿宋" w:cs="仿宋"/>
          <w:color w:val="auto"/>
          <w:sz w:val="32"/>
          <w:szCs w:val="32"/>
        </w:rPr>
        <w:t>等文化基础知识，具有良好的科学与人文素养，具备职业生涯规划能力；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5．具有良好的语言表达能力、文字表达能力、沟通合作能力，具有较强的集体意识和团队合作意识，学习一门外语并结合专业加以运用；</w:t>
      </w:r>
    </w:p>
    <w:p>
      <w:pPr>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6．</w:t>
      </w:r>
      <w:r>
        <w:rPr>
          <w:rFonts w:hint="eastAsia" w:ascii="仿宋" w:hAnsi="仿宋" w:eastAsia="仿宋" w:cs="仿宋"/>
          <w:color w:val="auto"/>
          <w:sz w:val="32"/>
          <w:szCs w:val="32"/>
          <w:lang w:eastAsia="zh-CN"/>
        </w:rPr>
        <w:t>掌握化学、化工单元操作、微生物基础等方面的专业基础知识；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掌握</w:t>
      </w:r>
      <w:r>
        <w:rPr>
          <w:rFonts w:hint="eastAsia" w:ascii="仿宋" w:hAnsi="仿宋" w:eastAsia="仿宋" w:cs="仿宋"/>
          <w:color w:val="auto"/>
          <w:sz w:val="32"/>
          <w:szCs w:val="32"/>
          <w:lang w:eastAsia="zh-CN"/>
        </w:rPr>
        <w:t>生物发酵技术、生物制药工艺、药物制剂、药物分析</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安全生产、制药设备等</w:t>
      </w:r>
      <w:r>
        <w:rPr>
          <w:rFonts w:hint="eastAsia" w:ascii="仿宋" w:hAnsi="仿宋" w:eastAsia="仿宋" w:cs="仿宋"/>
          <w:color w:val="auto"/>
          <w:sz w:val="32"/>
          <w:szCs w:val="32"/>
        </w:rPr>
        <w:t>方面的专业知识；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．掌握</w:t>
      </w:r>
      <w:r>
        <w:rPr>
          <w:rFonts w:hint="eastAsia" w:ascii="仿宋" w:hAnsi="仿宋" w:eastAsia="仿宋" w:cs="Times New Roman"/>
          <w:color w:val="auto"/>
          <w:sz w:val="32"/>
          <w:szCs w:val="32"/>
          <w:lang w:eastAsia="zh-CN"/>
        </w:rPr>
        <w:t>生物发酵技术、</w:t>
      </w:r>
      <w:r>
        <w:rPr>
          <w:rFonts w:hint="eastAsia" w:ascii="仿宋" w:hAnsi="仿宋" w:eastAsia="仿宋" w:cs="Times New Roman"/>
          <w:color w:val="auto"/>
          <w:sz w:val="32"/>
          <w:szCs w:val="32"/>
        </w:rPr>
        <w:t>制剂生产、药物制剂质量控制</w:t>
      </w:r>
      <w:r>
        <w:rPr>
          <w:rFonts w:hint="eastAsia" w:ascii="仿宋" w:hAnsi="仿宋" w:eastAsia="仿宋" w:cs="仿宋"/>
          <w:color w:val="auto"/>
          <w:sz w:val="32"/>
          <w:szCs w:val="32"/>
        </w:rPr>
        <w:t>等技术技能，具有</w:t>
      </w:r>
      <w:r>
        <w:rPr>
          <w:rFonts w:hint="eastAsia" w:ascii="仿宋" w:hAnsi="仿宋" w:eastAsia="仿宋" w:cs="仿宋"/>
          <w:color w:val="auto"/>
          <w:sz w:val="32"/>
          <w:szCs w:val="32"/>
          <w:lang w:eastAsia="zh-CN"/>
        </w:rPr>
        <w:t>实际操作</w:t>
      </w:r>
      <w:r>
        <w:rPr>
          <w:rFonts w:hint="eastAsia" w:ascii="仿宋" w:hAnsi="仿宋" w:eastAsia="仿宋" w:cs="仿宋"/>
          <w:color w:val="auto"/>
          <w:sz w:val="32"/>
          <w:szCs w:val="32"/>
        </w:rPr>
        <w:t>能力；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具有适应产业数字化发展需求的基本数字技能，掌握信息技术基础知识、专业信息技术能力，初步掌握</w:t>
      </w:r>
      <w:r>
        <w:rPr>
          <w:rFonts w:hint="eastAsia" w:ascii="仿宋" w:hAnsi="仿宋" w:eastAsia="仿宋" w:cs="仿宋"/>
          <w:color w:val="auto"/>
          <w:sz w:val="32"/>
          <w:szCs w:val="32"/>
          <w:lang w:eastAsia="zh-CN"/>
        </w:rPr>
        <w:t>医药</w:t>
      </w:r>
      <w:r>
        <w:rPr>
          <w:rFonts w:hint="eastAsia" w:ascii="仿宋" w:hAnsi="仿宋" w:eastAsia="仿宋" w:cs="仿宋"/>
          <w:color w:val="auto"/>
          <w:sz w:val="32"/>
          <w:szCs w:val="32"/>
        </w:rPr>
        <w:t>领域数字化技能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正确记录生产过程并对数据进行分析，实施实验室信息化管理的能力；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．具有探究学习、终身学习能力，具有一定的分析问题和解决问题的能力；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．掌握基本身体运动知识和至少</w:t>
      </w:r>
      <w:r>
        <w:rPr>
          <w:rFonts w:ascii="仿宋" w:hAnsi="仿宋" w:eastAsia="仿宋" w:cs="仿宋"/>
          <w:color w:val="auto"/>
          <w:sz w:val="32"/>
          <w:szCs w:val="32"/>
        </w:rPr>
        <w:t>1</w:t>
      </w:r>
      <w:r>
        <w:rPr>
          <w:rFonts w:hint="eastAsia" w:ascii="仿宋" w:hAnsi="仿宋" w:eastAsia="仿宋" w:cs="仿宋"/>
          <w:color w:val="auto"/>
          <w:sz w:val="32"/>
          <w:szCs w:val="32"/>
        </w:rPr>
        <w:t>项体育运动技能，养成良好的运动习惯、卫生习惯和行为习惯；具备一定的心理调适能力；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．掌握必备的美育知识，具有一定的文化修养、审美能力，形成至少1项艺术特长或爱好；</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．弘扬劳动光荣、技能宝贵、创造伟大的时代精神，热爱劳动人民、珍惜劳动成果、树立劳动观念、积极投身劳动，具备与本专业职业发展相适应的劳动素养、劳动技能。</w:t>
      </w:r>
    </w:p>
    <w:p>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14．具有依据标准操作规程进行动物细胞复苏、培养、过程控制的能力；</w:t>
      </w:r>
    </w:p>
    <w:p>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15．具有依据标准操作规程使用微生物发酵设备进行微生物发酵过程操作的能力；</w:t>
      </w:r>
    </w:p>
    <w:p>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16．具有生物药品和生物制品分离纯化操作能力；</w:t>
      </w:r>
    </w:p>
    <w:p>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17．具有依据生产工艺规程完成典型制剂生产的能力；</w:t>
      </w:r>
    </w:p>
    <w:p>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18．具有疫苗培养基生产操作的能力；</w:t>
      </w:r>
    </w:p>
    <w:p>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19．具有根据生物药物不同类别实施药物检测的能力；</w:t>
      </w:r>
    </w:p>
    <w:p>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20．具有依据绿色生产、环境保护、安全防护、质量管理等相关政策要求及医药行业法律法规，从事生物制药职业活动的能力；</w:t>
      </w:r>
    </w:p>
    <w:p>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8．具有适应生物制药产业数字化发展需求的数字技术应用能力；</w:t>
      </w:r>
    </w:p>
    <w:p>
      <w:pPr>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9．具有终身学习和可持续发展的能力</w:t>
      </w:r>
      <w:r>
        <w:rPr>
          <w:rFonts w:hint="eastAsia" w:ascii="仿宋" w:hAnsi="仿宋" w:eastAsia="仿宋" w:cs="仿宋"/>
          <w:color w:val="auto"/>
          <w:sz w:val="32"/>
          <w:szCs w:val="32"/>
          <w:lang w:eastAsia="zh-CN"/>
        </w:rPr>
        <w:t>。</w:t>
      </w:r>
    </w:p>
    <w:p>
      <w:pPr>
        <w:overflowPunct w:val="0"/>
        <w:adjustRightInd w:val="0"/>
        <w:spacing w:line="560" w:lineRule="exact"/>
        <w:ind w:firstLine="640" w:firstLineChars="200"/>
        <w:outlineLvl w:val="0"/>
        <w:rPr>
          <w:rFonts w:eastAsia="黑体"/>
          <w:color w:val="auto"/>
          <w:sz w:val="32"/>
          <w:szCs w:val="32"/>
        </w:rPr>
      </w:pPr>
      <w:r>
        <w:rPr>
          <w:rFonts w:hint="eastAsia" w:eastAsia="黑体"/>
          <w:color w:val="auto"/>
          <w:sz w:val="32"/>
          <w:szCs w:val="32"/>
        </w:rPr>
        <w:t>七</w:t>
      </w:r>
      <w:r>
        <w:rPr>
          <w:rFonts w:eastAsia="黑体"/>
          <w:color w:val="auto"/>
          <w:sz w:val="32"/>
          <w:szCs w:val="32"/>
        </w:rPr>
        <w:t>、课程设置及要求</w:t>
      </w:r>
    </w:p>
    <w:p>
      <w:pPr>
        <w:overflowPunct w:val="0"/>
        <w:adjustRightInd w:val="0"/>
        <w:spacing w:line="560" w:lineRule="exact"/>
        <w:ind w:left="740" w:leftChars="200" w:hanging="320" w:hangingChars="100"/>
        <w:outlineLvl w:val="0"/>
        <w:rPr>
          <w:rFonts w:eastAsia="黑体"/>
          <w:color w:val="auto"/>
          <w:sz w:val="32"/>
          <w:szCs w:val="32"/>
        </w:rPr>
      </w:pPr>
      <w:r>
        <w:rPr>
          <w:rFonts w:hint="eastAsia" w:eastAsia="黑体"/>
          <w:color w:val="auto"/>
          <w:sz w:val="32"/>
          <w:szCs w:val="32"/>
        </w:rPr>
        <w:t>（一）公共基础课程</w:t>
      </w:r>
    </w:p>
    <w:p>
      <w:pPr>
        <w:overflowPunct w:val="0"/>
        <w:adjustRightInd w:val="0"/>
        <w:spacing w:line="560" w:lineRule="exact"/>
        <w:ind w:left="630" w:leftChars="300"/>
        <w:outlineLvl w:val="0"/>
        <w:rPr>
          <w:rFonts w:eastAsia="黑体"/>
          <w:color w:val="auto"/>
          <w:sz w:val="32"/>
          <w:szCs w:val="32"/>
        </w:rPr>
      </w:pPr>
      <w:r>
        <w:rPr>
          <w:rFonts w:hint="eastAsia" w:eastAsia="黑体"/>
          <w:color w:val="auto"/>
          <w:sz w:val="32"/>
          <w:szCs w:val="32"/>
        </w:rPr>
        <w:t>1．思想政治</w:t>
      </w:r>
    </w:p>
    <w:p>
      <w:pPr>
        <w:overflowPunct w:val="0"/>
        <w:adjustRightInd w:val="0"/>
        <w:spacing w:line="560" w:lineRule="exact"/>
        <w:ind w:left="630" w:leftChars="300"/>
        <w:outlineLvl w:val="0"/>
        <w:rPr>
          <w:rFonts w:ascii="仿宋" w:hAnsi="仿宋" w:eastAsia="仿宋"/>
          <w:color w:val="auto"/>
          <w:sz w:val="32"/>
          <w:szCs w:val="32"/>
        </w:rPr>
      </w:pPr>
      <w:r>
        <w:rPr>
          <w:rFonts w:hint="eastAsia" w:ascii="仿宋" w:hAnsi="仿宋" w:eastAsia="仿宋"/>
          <w:color w:val="auto"/>
          <w:sz w:val="32"/>
          <w:szCs w:val="32"/>
        </w:rPr>
        <w:t>（1）中国特色社会主义</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本课程</w:t>
      </w:r>
      <w:r>
        <w:rPr>
          <w:rFonts w:ascii="仿宋" w:hAnsi="仿宋" w:eastAsia="仿宋"/>
          <w:color w:val="auto"/>
          <w:sz w:val="32"/>
          <w:szCs w:val="32"/>
        </w:rPr>
        <w:t>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 大复兴的奋斗之中</w:t>
      </w:r>
      <w:r>
        <w:rPr>
          <w:rFonts w:hint="eastAsia" w:ascii="仿宋" w:hAnsi="仿宋" w:eastAsia="仿宋"/>
          <w:color w:val="auto"/>
          <w:sz w:val="32"/>
          <w:szCs w:val="32"/>
        </w:rPr>
        <w:t>。</w:t>
      </w:r>
    </w:p>
    <w:p>
      <w:pPr>
        <w:overflowPunct w:val="0"/>
        <w:adjustRightInd w:val="0"/>
        <w:spacing w:line="560" w:lineRule="exact"/>
        <w:ind w:left="630" w:leftChars="300"/>
        <w:outlineLvl w:val="0"/>
        <w:rPr>
          <w:rFonts w:ascii="仿宋" w:hAnsi="仿宋" w:eastAsia="仿宋"/>
          <w:color w:val="auto"/>
          <w:sz w:val="32"/>
          <w:szCs w:val="32"/>
        </w:rPr>
      </w:pPr>
      <w:r>
        <w:rPr>
          <w:rFonts w:hint="eastAsia" w:ascii="仿宋" w:hAnsi="仿宋" w:eastAsia="仿宋"/>
          <w:color w:val="auto"/>
          <w:sz w:val="32"/>
          <w:szCs w:val="32"/>
        </w:rPr>
        <w:t>（2）心理健康与职业生涯</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本课程</w:t>
      </w:r>
      <w:r>
        <w:rPr>
          <w:rFonts w:ascii="仿宋" w:hAnsi="仿宋" w:eastAsia="仿宋"/>
          <w:color w:val="auto"/>
          <w:sz w:val="32"/>
          <w:szCs w:val="32"/>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pPr>
        <w:overflowPunct w:val="0"/>
        <w:adjustRightInd w:val="0"/>
        <w:spacing w:line="560" w:lineRule="exact"/>
        <w:ind w:left="630" w:leftChars="300"/>
        <w:outlineLvl w:val="0"/>
        <w:rPr>
          <w:rFonts w:ascii="仿宋" w:hAnsi="仿宋" w:eastAsia="仿宋"/>
          <w:color w:val="auto"/>
          <w:sz w:val="32"/>
          <w:szCs w:val="32"/>
        </w:rPr>
      </w:pPr>
      <w:r>
        <w:rPr>
          <w:rFonts w:hint="eastAsia" w:ascii="仿宋" w:hAnsi="仿宋" w:eastAsia="仿宋"/>
          <w:color w:val="auto"/>
          <w:sz w:val="32"/>
          <w:szCs w:val="32"/>
        </w:rPr>
        <w:t>（3）哲学与人生</w:t>
      </w:r>
    </w:p>
    <w:p>
      <w:pPr>
        <w:overflowPunct w:val="0"/>
        <w:adjustRightInd w:val="0"/>
        <w:spacing w:line="560" w:lineRule="exact"/>
        <w:ind w:firstLine="640" w:firstLineChars="200"/>
        <w:outlineLvl w:val="0"/>
        <w:rPr>
          <w:rFonts w:ascii="仿宋" w:hAnsi="仿宋" w:eastAsia="仿宋"/>
          <w:color w:val="auto"/>
          <w:sz w:val="32"/>
          <w:szCs w:val="32"/>
        </w:rPr>
      </w:pPr>
      <w:r>
        <w:rPr>
          <w:rFonts w:ascii="仿宋" w:hAnsi="仿宋" w:eastAsia="仿宋"/>
          <w:color w:val="auto"/>
          <w:sz w:val="32"/>
          <w:szCs w:val="32"/>
        </w:rPr>
        <w:t>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r>
        <w:rPr>
          <w:rFonts w:hint="eastAsia" w:ascii="仿宋" w:hAnsi="仿宋" w:eastAsia="仿宋"/>
          <w:color w:val="auto"/>
          <w:sz w:val="32"/>
          <w:szCs w:val="32"/>
        </w:rPr>
        <w:t>。</w:t>
      </w:r>
    </w:p>
    <w:p>
      <w:pPr>
        <w:overflowPunct w:val="0"/>
        <w:adjustRightInd w:val="0"/>
        <w:spacing w:line="560" w:lineRule="exact"/>
        <w:ind w:left="630" w:leftChars="300"/>
        <w:outlineLvl w:val="0"/>
        <w:rPr>
          <w:rFonts w:ascii="仿宋" w:hAnsi="仿宋" w:eastAsia="仿宋"/>
          <w:color w:val="auto"/>
          <w:sz w:val="32"/>
          <w:szCs w:val="32"/>
        </w:rPr>
      </w:pPr>
      <w:r>
        <w:rPr>
          <w:rFonts w:hint="eastAsia" w:ascii="仿宋" w:hAnsi="仿宋" w:eastAsia="仿宋"/>
          <w:color w:val="auto"/>
          <w:sz w:val="32"/>
          <w:szCs w:val="32"/>
        </w:rPr>
        <w:t>（4）职业道德与法治</w:t>
      </w:r>
    </w:p>
    <w:p>
      <w:pPr>
        <w:overflowPunct w:val="0"/>
        <w:adjustRightInd w:val="0"/>
        <w:spacing w:line="560" w:lineRule="exact"/>
        <w:ind w:firstLine="640" w:firstLineChars="200"/>
        <w:outlineLvl w:val="0"/>
        <w:rPr>
          <w:rFonts w:ascii="仿宋" w:hAnsi="仿宋" w:eastAsia="仿宋"/>
          <w:color w:val="auto"/>
          <w:sz w:val="32"/>
          <w:szCs w:val="32"/>
        </w:rPr>
      </w:pPr>
      <w:r>
        <w:rPr>
          <w:rFonts w:ascii="仿宋" w:hAnsi="仿宋" w:eastAsia="仿宋"/>
          <w:color w:val="auto"/>
          <w:sz w:val="32"/>
          <w:szCs w:val="32"/>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r>
        <w:rPr>
          <w:rFonts w:hint="eastAsia" w:ascii="仿宋" w:hAnsi="仿宋" w:eastAsia="仿宋"/>
          <w:color w:val="auto"/>
          <w:sz w:val="32"/>
          <w:szCs w:val="32"/>
        </w:rPr>
        <w:t>。</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2．语文</w:t>
      </w:r>
    </w:p>
    <w:p>
      <w:pPr>
        <w:overflowPunct w:val="0"/>
        <w:adjustRightInd w:val="0"/>
        <w:spacing w:line="560" w:lineRule="exact"/>
        <w:ind w:firstLine="640" w:firstLineChars="200"/>
        <w:outlineLvl w:val="0"/>
        <w:rPr>
          <w:rFonts w:hint="eastAsia" w:ascii="仿宋" w:hAnsi="仿宋" w:eastAsia="仿宋"/>
          <w:color w:val="auto"/>
          <w:sz w:val="32"/>
          <w:szCs w:val="32"/>
        </w:rPr>
      </w:pPr>
      <w:r>
        <w:rPr>
          <w:rFonts w:hint="eastAsia" w:ascii="仿宋" w:hAnsi="仿宋" w:eastAsia="仿宋"/>
          <w:color w:val="auto"/>
          <w:sz w:val="32"/>
          <w:szCs w:val="32"/>
        </w:rPr>
        <w:t>通过丰富的言语实践，逐步掌握祖国语言文字特点及其运用规律，形成个体的言语经验，在具体的生活、学习、工作等语言运用情境中，正确理解与运用祖国语言文字，进行有效的交流与沟通；通过语言运用，发展直觉思维、形象思维、逻辑思维、辩证思维和创造思维，运用多种思维方式丰富自己对作品的感受和理解，比较、分析、归纳和概括基本的语言现象，准确传递信息、论述观点、表明态度，提升思维的深刻性、敏捷性、灵活性、批判性和创造性等品质；通过阅读优秀作品，口味语言艺术，发现美，体验美，欣赏美，崇尚真善美，提高语言文化鉴别能力，形成正确的审美意识、健康向上的审美情趣与鉴赏品位，提升审美境界，在生活、工作情境中运用口语和书面语表现美，创造美；在学习中，继承和弘扬中华优秀传统文化、革命文化、社会主义先进文化，吸收人类文化知识积累和创新成果，并在学习和工作中拓宽产业文化视野，培育劳动精神，弘扬劳模精神、工匠精神，增强文化自觉和文化自信。取得</w:t>
      </w:r>
      <w:r>
        <w:rPr>
          <w:rFonts w:ascii="仿宋" w:hAnsi="仿宋" w:eastAsia="仿宋"/>
          <w:color w:val="auto"/>
          <w:sz w:val="32"/>
          <w:szCs w:val="32"/>
        </w:rPr>
        <w:t>国家普通话水平测试等级证书</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3．历史</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本课程的任务是在义务教育历史课程的基础上，以唯物史观为指导，促进中等职业学校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培育和践行社会主义核心价值观；树立正确的历史观、民族观、国家观和文化观；塑造健全的人格，养成职业精神，培养德智体美劳全面发展社会主义建设者和接班人。</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4．数学</w:t>
      </w:r>
    </w:p>
    <w:p>
      <w:pPr>
        <w:overflowPunct w:val="0"/>
        <w:adjustRightInd w:val="0"/>
        <w:spacing w:line="560" w:lineRule="exact"/>
        <w:ind w:firstLine="640" w:firstLineChars="200"/>
        <w:outlineLvl w:val="0"/>
        <w:rPr>
          <w:rFonts w:hint="eastAsia" w:ascii="仿宋" w:hAnsi="仿宋" w:eastAsia="仿宋"/>
          <w:color w:val="auto"/>
          <w:sz w:val="32"/>
          <w:szCs w:val="32"/>
        </w:rPr>
      </w:pPr>
      <w:r>
        <w:rPr>
          <w:rFonts w:hint="eastAsia" w:ascii="仿宋" w:hAnsi="仿宋" w:eastAsia="仿宋"/>
          <w:color w:val="auto"/>
          <w:sz w:val="32"/>
          <w:szCs w:val="32"/>
        </w:rPr>
        <w:t>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提高学生学习数学的兴趣，增强学好数学 的主动性和自信心，养成理性思维、敢于质疑、善于思考的科学精神和精益求精的工匠精神，加深对数学的科学价值、应用价值、文化价值和审美价值的认识。在数学知识学习和数学能力培养的过程中，使学生逐步提高数学运算、直观想象、逻辑推理、数学抽象、数据分析和数学建模等数学学科核心素养，初步学会用数学眼光观察世界、用数学思维分析世界、用数学语言表达世界。</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5．英语</w:t>
      </w:r>
    </w:p>
    <w:p>
      <w:pPr>
        <w:overflowPunct w:val="0"/>
        <w:adjustRightInd w:val="0"/>
        <w:spacing w:line="560" w:lineRule="exact"/>
        <w:ind w:firstLine="640" w:firstLineChars="200"/>
        <w:outlineLvl w:val="0"/>
        <w:rPr>
          <w:rFonts w:hint="eastAsia" w:ascii="仿宋" w:hAnsi="仿宋" w:eastAsia="仿宋"/>
          <w:color w:val="auto"/>
          <w:sz w:val="32"/>
          <w:szCs w:val="32"/>
        </w:rPr>
      </w:pPr>
      <w:r>
        <w:rPr>
          <w:rFonts w:hint="eastAsia" w:ascii="仿宋" w:hAnsi="仿宋" w:eastAsia="仿宋"/>
          <w:color w:val="auto"/>
          <w:sz w:val="32"/>
          <w:szCs w:val="32"/>
        </w:rPr>
        <w:t>在义务教育的基础上，进一步激发学生英语学习的兴趣，帮助学生掌握基础知识和基本技能，发展英语学科核心素养，为学生的职业生涯、继续学习和终身发展奠定基础。通过学习与实践，掌握语言特点及其运用规律，发展听、说、读、写等语言技能，正确理解职场中不同类型的语篇信息，就与职业相关的话题进行有效沟通与交流；通过观察、分析、比较等方式，认识口头交流与书面交流的表达特点，感知不同文化背景下思维方式的多样性，理解中西方思维方式的差异，从不同视角观察和认识世界，对事物做出合理评判；通过学习中外优秀文化、拓宽国际视野，形成对外国文化的正确认识、对中华优秀文化的深刻认知及对中外企业文化的客观了解，以开放包容的心态理解多元文化，坚定文化自信，促进文化传播；养成良好的学习习惯，促进语言学习与学习能力的可持续发展。</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6．信息技术</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课程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奠定基础。能取得全国计算等级考试（一级）证书。</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7．体育与健康</w:t>
      </w:r>
    </w:p>
    <w:p>
      <w:pPr>
        <w:overflowPunct w:val="0"/>
        <w:adjustRightInd w:val="0"/>
        <w:spacing w:line="560" w:lineRule="exact"/>
        <w:outlineLvl w:val="0"/>
        <w:rPr>
          <w:rFonts w:ascii="仿宋" w:hAnsi="仿宋" w:eastAsia="仿宋"/>
          <w:color w:val="auto"/>
          <w:sz w:val="32"/>
          <w:szCs w:val="32"/>
        </w:rPr>
      </w:pPr>
      <w:r>
        <w:rPr>
          <w:rFonts w:hint="eastAsia" w:ascii="仿宋" w:hAnsi="仿宋" w:eastAsia="仿宋"/>
          <w:color w:val="auto"/>
          <w:sz w:val="32"/>
          <w:szCs w:val="32"/>
        </w:rPr>
        <w:t xml:space="preserve"> </w:t>
      </w:r>
      <w:r>
        <w:rPr>
          <w:rFonts w:ascii="仿宋" w:hAnsi="仿宋" w:eastAsia="仿宋"/>
          <w:color w:val="auto"/>
          <w:sz w:val="32"/>
          <w:szCs w:val="32"/>
        </w:rPr>
        <w:t xml:space="preserve">   </w:t>
      </w:r>
      <w:r>
        <w:rPr>
          <w:rFonts w:hint="eastAsia" w:ascii="仿宋" w:hAnsi="仿宋" w:eastAsia="仿宋"/>
          <w:color w:val="auto"/>
          <w:sz w:val="32"/>
          <w:szCs w:val="32"/>
        </w:rPr>
        <w:t>通过学习，学生能够喜爱并积极参与体育运动，享受体育 运动的乐趣；学会锻炼身体的科学方法，掌握1</w:t>
      </w:r>
      <w:r>
        <w:rPr>
          <w:rFonts w:ascii="仿宋" w:hAnsi="仿宋" w:eastAsia="仿宋"/>
          <w:color w:val="auto"/>
          <w:sz w:val="32"/>
          <w:szCs w:val="32"/>
        </w:rPr>
        <w:t>-2</w:t>
      </w:r>
      <w:r>
        <w:rPr>
          <w:rFonts w:hint="eastAsia" w:ascii="仿宋" w:hAnsi="仿宋" w:eastAsia="仿宋"/>
          <w:color w:val="auto"/>
          <w:sz w:val="32"/>
          <w:szCs w:val="32"/>
        </w:rPr>
        <w:t>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培育学生的运动能力、健康行为和体育精神核心素养。</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8．艺术</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（1）音乐欣赏</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参与音乐鉴赏与实践活动，学习有关知识和技能，认识音乐的基本功能与作用，获得精神愉悦，提高审判情趣和音乐实践能力。了解音乐表现的丰富性和多样性，掌握音乐鉴赏的基本方法，聆听欣赏中外经典作品，理解中国音乐与中华优秀传统文化、革命文化和社会主义先进文化的密切关系，弘扬民族精神和时代精神，尊重世界音乐文化的多样性。了解当代中国最普遍的音乐实践活动方式，丰富音乐实践经验，提高音乐实践能力。结合鉴赏内容开展音乐实践，认识音乐与其他艺术、学科及专业的关联，积极探索音乐在社会生活、生产实践、专业学习和职业发展等方面的应用，激发创新意识，促进专业学习。</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（2）美术欣赏</w:t>
      </w:r>
    </w:p>
    <w:p>
      <w:pPr>
        <w:overflowPunct w:val="0"/>
        <w:adjustRightInd w:val="0"/>
        <w:spacing w:line="560" w:lineRule="exact"/>
        <w:ind w:firstLine="640" w:firstLineChars="200"/>
        <w:outlineLvl w:val="0"/>
        <w:rPr>
          <w:rFonts w:ascii="仿宋" w:hAnsi="仿宋" w:eastAsia="仿宋"/>
          <w:color w:val="auto"/>
          <w:sz w:val="32"/>
          <w:szCs w:val="32"/>
        </w:rPr>
      </w:pPr>
      <w:r>
        <w:rPr>
          <w:rFonts w:ascii="仿宋" w:hAnsi="仿宋" w:eastAsia="仿宋"/>
          <w:color w:val="auto"/>
          <w:sz w:val="32"/>
          <w:szCs w:val="32"/>
        </w:rPr>
        <w:t>通过不同美术类型（绘画、书法、雕塑、工艺、建筑、摄影等）的表现形式与发展演变进程，使学生了解美术的基础知识、技能与原理，熟悉基本审美特征，理解作品的思想情感与人文内涵，感受社会美、自然美和艺术美的统一，提高审美能力。</w:t>
      </w:r>
      <w:r>
        <w:rPr>
          <w:rFonts w:hint="eastAsia" w:ascii="仿宋" w:hAnsi="仿宋" w:eastAsia="仿宋"/>
          <w:color w:val="auto"/>
          <w:sz w:val="32"/>
          <w:szCs w:val="32"/>
        </w:rPr>
        <w:t>了解不同的美术门类，掌握美术鉴赏的基本方法，形成健康的审美情趣；欣赏中国书画、雕塑和建筑等经典作品，理解其与中华优秀传统文化、革命文化和社会主义先进文化的密切关系，弘扬民族精神和时代精神，树立正确的文化观；欣赏外国经典作品，理解世界美术文化的多样性；结合鉴赏内容开展美术实践，认识美术与其他艺术、学科和专业的关联，积极探索美术在社会生活、生产实践、专业学习和职业发展方面的广泛应用，激发创新意识，促进专业学习。</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（3）书法</w:t>
      </w:r>
    </w:p>
    <w:p>
      <w:pPr>
        <w:overflowPunct w:val="0"/>
        <w:adjustRightInd w:val="0"/>
        <w:spacing w:line="560" w:lineRule="exact"/>
        <w:ind w:firstLine="640" w:firstLineChars="200"/>
        <w:outlineLvl w:val="0"/>
        <w:rPr>
          <w:rFonts w:hint="eastAsia" w:ascii="仿宋" w:hAnsi="仿宋" w:eastAsia="仿宋"/>
          <w:color w:val="auto"/>
          <w:sz w:val="32"/>
          <w:szCs w:val="32"/>
        </w:rPr>
      </w:pPr>
      <w:r>
        <w:rPr>
          <w:rFonts w:hint="eastAsia" w:ascii="仿宋" w:hAnsi="仿宋" w:eastAsia="仿宋"/>
          <w:color w:val="auto"/>
          <w:sz w:val="32"/>
          <w:szCs w:val="32"/>
        </w:rPr>
        <w:t>了解中国书画基础知识与技法，熟悉中国书画的大致分类。赏析中国书画经典作品，认识中国传统艺术风格，感情中国书画所蕴含的思想情感、审美意趣和民族精神，提高审美能力和文化品位。通过软、硬笔习字练习，掌握楷书、行书的基本运笔与技巧，养成良好的书写习惯，提高书写能力，提升自我修养。</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（4）礼乐修身</w:t>
      </w:r>
    </w:p>
    <w:p>
      <w:pPr>
        <w:overflowPunct w:val="0"/>
        <w:adjustRightInd w:val="0"/>
        <w:spacing w:line="560" w:lineRule="exact"/>
        <w:ind w:firstLine="640" w:firstLineChars="200"/>
        <w:outlineLvl w:val="0"/>
        <w:rPr>
          <w:rFonts w:hint="eastAsia" w:ascii="仿宋" w:hAnsi="仿宋" w:eastAsia="仿宋"/>
          <w:color w:val="auto"/>
          <w:sz w:val="32"/>
          <w:szCs w:val="32"/>
        </w:rPr>
      </w:pPr>
      <w:r>
        <w:rPr>
          <w:rFonts w:hint="eastAsia" w:ascii="仿宋" w:hAnsi="仿宋" w:eastAsia="仿宋"/>
          <w:color w:val="auto"/>
          <w:sz w:val="32"/>
          <w:szCs w:val="32"/>
        </w:rPr>
        <w:t>通过学习社交礼仪常识、各种情境的礼仪训练，掌握必备 的礼仪知识和技能，领会礼仪的核心精神，提高艺术审美和鉴赏能力，弘扬中华优秀传统美德，做到知行合一。</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9．劳动教育</w:t>
      </w:r>
    </w:p>
    <w:p>
      <w:pPr>
        <w:overflowPunct w:val="0"/>
        <w:adjustRightInd w:val="0"/>
        <w:spacing w:line="560" w:lineRule="exact"/>
        <w:ind w:firstLine="640" w:firstLineChars="200"/>
        <w:outlineLvl w:val="0"/>
        <w:rPr>
          <w:rFonts w:ascii="仿宋" w:hAnsi="仿宋" w:eastAsia="仿宋"/>
          <w:color w:val="auto"/>
          <w:sz w:val="32"/>
          <w:szCs w:val="32"/>
          <w:shd w:val="clear" w:color="auto" w:fill="FFFFFF"/>
        </w:rPr>
      </w:pPr>
      <w:r>
        <w:rPr>
          <w:rFonts w:hint="eastAsia" w:ascii="仿宋" w:hAnsi="仿宋" w:eastAsia="仿宋"/>
          <w:color w:val="auto"/>
          <w:sz w:val="32"/>
          <w:szCs w:val="32"/>
          <w:shd w:val="clear" w:color="auto" w:fill="FFFFFF"/>
        </w:rPr>
        <w:t>本课程重点讲述劳动精神、劳模精神、工匠精神、劳动组织、劳动安全和劳动法规等方面内容，提高劳动自立自强的意识和能力；增强学生职业荣誉感和责任感，提高职业劳动技能水平，培育学生积极向上的劳动精神和认真负责的劳动态度。。通过课程，让学生学会日常生活劳动，实现自我管理生活；通过校内外公益服务性劳动，做好校园环境秩序维护，运用专业技能为社会、为他人提供相关公益服务，培育社会公德，厚植爱国爱民的情怀；通过参与真实的生产劳动和服务性劳动，增强职业认同感和劳动自豪感，提升创意物化能力，培育不断探索、精益求精、追求卓越的工匠精神和爱岗敬业的劳动态度，</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0</w:t>
      </w:r>
      <w:r>
        <w:rPr>
          <w:rFonts w:hint="eastAsia" w:ascii="仿宋" w:hAnsi="仿宋" w:eastAsia="仿宋"/>
          <w:color w:val="auto"/>
          <w:sz w:val="32"/>
          <w:szCs w:val="32"/>
        </w:rPr>
        <w:t>．军事训练</w:t>
      </w:r>
    </w:p>
    <w:p>
      <w:pPr>
        <w:overflowPunct w:val="0"/>
        <w:adjustRightInd w:val="0"/>
        <w:spacing w:line="560" w:lineRule="exact"/>
        <w:ind w:firstLine="640" w:firstLineChars="200"/>
        <w:outlineLvl w:val="0"/>
        <w:rPr>
          <w:rFonts w:ascii="仿宋" w:hAnsi="仿宋" w:eastAsia="仿宋" w:cs="仿宋"/>
          <w:color w:val="auto"/>
          <w:sz w:val="32"/>
          <w:szCs w:val="32"/>
        </w:rPr>
      </w:pPr>
      <w:r>
        <w:rPr>
          <w:rFonts w:hint="eastAsia" w:ascii="仿宋" w:hAnsi="仿宋" w:eastAsia="仿宋" w:cs="仿宋"/>
          <w:color w:val="auto"/>
          <w:sz w:val="32"/>
          <w:szCs w:val="32"/>
        </w:rPr>
        <w:t>通过军事训练学习基本军事知识，掌握基本军事技能，全面推进素质教育，增强学生的国防观念和国家安全意识，加强学生的组织性和纪律性，培养吃苦耐劳和艰苦朴素的作风，培育爱党爱国爱军情怀，培塑爱国主义、集体主义和革命英雄主义精神。</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1</w:t>
      </w:r>
      <w:r>
        <w:rPr>
          <w:rFonts w:hint="eastAsia" w:ascii="仿宋" w:hAnsi="仿宋" w:eastAsia="仿宋"/>
          <w:color w:val="auto"/>
          <w:sz w:val="32"/>
          <w:szCs w:val="32"/>
        </w:rPr>
        <w:t>．就业指导</w:t>
      </w:r>
    </w:p>
    <w:p>
      <w:pPr>
        <w:overflowPunct w:val="0"/>
        <w:adjustRightInd w:val="0"/>
        <w:spacing w:line="560" w:lineRule="exact"/>
        <w:ind w:firstLine="640" w:firstLineChars="200"/>
        <w:outlineLvl w:val="0"/>
        <w:rPr>
          <w:rFonts w:ascii="仿宋" w:hAnsi="仿宋" w:eastAsia="仿宋" w:cs="仿宋"/>
          <w:color w:val="auto"/>
          <w:sz w:val="32"/>
          <w:szCs w:val="32"/>
        </w:rPr>
      </w:pPr>
      <w:r>
        <w:rPr>
          <w:rFonts w:hint="eastAsia" w:ascii="仿宋" w:hAnsi="仿宋" w:eastAsia="仿宋" w:cs="仿宋"/>
          <w:color w:val="auto"/>
          <w:sz w:val="32"/>
          <w:szCs w:val="32"/>
        </w:rPr>
        <w:t>本课程是中等职业学校学生必修的一门德育课程，旨在对学生进行职业就业指导。其任务是：学生应了解职业、职业素质、职业道德、职业个性、职业选择、职业理想的基本知识与要求，树立正确的职业理想；学会依据社会发展、职业需求和个人特点进行职业生涯设计的方法；增强提高自身全面素质、自主择业、立业创业的自觉性。</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2</w:t>
      </w:r>
      <w:r>
        <w:rPr>
          <w:rFonts w:hint="eastAsia" w:ascii="仿宋" w:hAnsi="仿宋" w:eastAsia="仿宋"/>
          <w:color w:val="auto"/>
          <w:sz w:val="32"/>
          <w:szCs w:val="32"/>
        </w:rPr>
        <w:t>．职业能力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课程主要讲述思想政治基础理论、时事政治、科技常识、文学常识、艺术知识、安全常识等内容，提高学生思想道德素质、科学素质、人文素质等综合素质，培养学生理解、交流、科学思维、应用分析、艺术审美等方面的能力，挖掘学生处理事物的能力，提升职业适应性。</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（二）专业基础课程</w:t>
      </w:r>
    </w:p>
    <w:p>
      <w:pPr>
        <w:numPr>
          <w:ilvl w:val="0"/>
          <w:numId w:val="0"/>
        </w:numPr>
        <w:spacing w:line="56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1.药用基础化学</w:t>
      </w:r>
    </w:p>
    <w:p>
      <w:pPr>
        <w:widowControl w:val="0"/>
        <w:numPr>
          <w:ilvl w:val="0"/>
          <w:numId w:val="0"/>
        </w:numPr>
        <w:spacing w:line="560" w:lineRule="exact"/>
        <w:ind w:firstLine="640" w:firstLineChars="200"/>
        <w:jc w:val="both"/>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本课程主要讲述</w:t>
      </w:r>
      <w:r>
        <w:rPr>
          <w:rFonts w:hint="default" w:ascii="仿宋" w:hAnsi="仿宋" w:eastAsia="仿宋"/>
          <w:color w:val="auto"/>
          <w:sz w:val="32"/>
          <w:szCs w:val="32"/>
          <w:lang w:val="en-US" w:eastAsia="zh-CN"/>
        </w:rPr>
        <w:t>物质的组成、结构、性质及其变化规律；培养学生的化学学科核心素养，使学生获得必备的化学基础知识、基本技能和基本方法，认识物质变化规律，养成发现、分析、解决化学相关问题的能力；培养学生精益求精的工匠精神、严谨求实的科学态度和勇于开拓的创新意识；引领学生逐步形成正确的世界观、人生观和价值观，自觉践行社会主义核心价值观，成为德智体美劳全面发展的高素质劳动者和技术技能人才</w:t>
      </w:r>
      <w:r>
        <w:rPr>
          <w:rFonts w:hint="eastAsia" w:ascii="仿宋" w:hAnsi="仿宋" w:eastAsia="仿宋"/>
          <w:color w:val="auto"/>
          <w:sz w:val="32"/>
          <w:szCs w:val="32"/>
          <w:lang w:val="en-US" w:eastAsia="zh-CN"/>
        </w:rPr>
        <w:t>。</w:t>
      </w:r>
    </w:p>
    <w:p>
      <w:pPr>
        <w:widowControl w:val="0"/>
        <w:numPr>
          <w:ilvl w:val="0"/>
          <w:numId w:val="0"/>
        </w:numPr>
        <w:spacing w:line="560" w:lineRule="exact"/>
        <w:ind w:firstLine="640" w:firstLineChars="200"/>
        <w:jc w:val="both"/>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2.微生物基础</w:t>
      </w:r>
    </w:p>
    <w:p>
      <w:pPr>
        <w:widowControl w:val="0"/>
        <w:numPr>
          <w:ilvl w:val="0"/>
          <w:numId w:val="0"/>
        </w:numPr>
        <w:spacing w:line="560" w:lineRule="exact"/>
        <w:ind w:firstLine="640" w:firstLineChars="200"/>
        <w:jc w:val="both"/>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本课程主要讲述</w:t>
      </w:r>
      <w:r>
        <w:rPr>
          <w:rFonts w:hint="default" w:ascii="仿宋" w:hAnsi="仿宋" w:eastAsia="仿宋"/>
          <w:color w:val="auto"/>
          <w:sz w:val="32"/>
          <w:szCs w:val="32"/>
          <w:lang w:val="en-US" w:eastAsia="zh-CN"/>
        </w:rPr>
        <w:t>微生物基础理论</w:t>
      </w:r>
      <w:r>
        <w:rPr>
          <w:rFonts w:hint="eastAsia" w:ascii="仿宋" w:hAnsi="仿宋" w:eastAsia="仿宋"/>
          <w:color w:val="auto"/>
          <w:sz w:val="32"/>
          <w:szCs w:val="32"/>
          <w:lang w:val="en-US" w:eastAsia="zh-CN"/>
        </w:rPr>
        <w:t>，包括</w:t>
      </w:r>
      <w:r>
        <w:rPr>
          <w:rFonts w:hint="default" w:ascii="仿宋" w:hAnsi="仿宋" w:eastAsia="仿宋"/>
          <w:color w:val="auto"/>
          <w:sz w:val="32"/>
          <w:szCs w:val="32"/>
          <w:lang w:val="en-US" w:eastAsia="zh-CN"/>
        </w:rPr>
        <w:t>各类微生物形态、群体特征、营养、代谢、生长、遗传变异、传染免疫和微生物的生态；掌握微生物实验</w:t>
      </w:r>
      <w:r>
        <w:rPr>
          <w:rFonts w:hint="eastAsia" w:ascii="仿宋" w:hAnsi="仿宋" w:eastAsia="仿宋"/>
          <w:color w:val="auto"/>
          <w:sz w:val="32"/>
          <w:szCs w:val="32"/>
          <w:lang w:val="en-US" w:eastAsia="zh-CN"/>
        </w:rPr>
        <w:t>，包括</w:t>
      </w:r>
      <w:r>
        <w:rPr>
          <w:rFonts w:hint="default" w:ascii="仿宋" w:hAnsi="仿宋" w:eastAsia="仿宋"/>
          <w:color w:val="auto"/>
          <w:sz w:val="32"/>
          <w:szCs w:val="32"/>
          <w:lang w:val="en-US" w:eastAsia="zh-CN"/>
        </w:rPr>
        <w:t>纯培养技术、形态观察及微生物测定及消毒灭菌实验</w:t>
      </w:r>
      <w:r>
        <w:rPr>
          <w:rFonts w:hint="eastAsia" w:ascii="仿宋" w:hAnsi="仿宋" w:eastAsia="仿宋"/>
          <w:color w:val="auto"/>
          <w:sz w:val="32"/>
          <w:szCs w:val="32"/>
          <w:lang w:val="en-US" w:eastAsia="zh-CN"/>
        </w:rPr>
        <w:t>，培养学生学生精益求精的工匠精神、严谨求实的科学态度和勇于开拓的创新意识。</w:t>
      </w:r>
    </w:p>
    <w:p>
      <w:pPr>
        <w:widowControl w:val="0"/>
        <w:numPr>
          <w:ilvl w:val="0"/>
          <w:numId w:val="0"/>
        </w:numPr>
        <w:spacing w:line="560" w:lineRule="exact"/>
        <w:ind w:firstLine="640" w:firstLineChars="200"/>
        <w:jc w:val="both"/>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3.化工生产单元操作</w:t>
      </w:r>
    </w:p>
    <w:p>
      <w:pPr>
        <w:widowControl w:val="0"/>
        <w:numPr>
          <w:ilvl w:val="0"/>
          <w:numId w:val="0"/>
        </w:numPr>
        <w:spacing w:line="560" w:lineRule="exact"/>
        <w:ind w:firstLine="640" w:firstLineChars="200"/>
        <w:jc w:val="both"/>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本课程主要讲述生产过程中常见的单元操作过程及设备，使学生学习各种操作的基本原理、典型设备的构造和性能，培养学生工程观点与核心实践技能的重要课程，</w:t>
      </w:r>
      <w:r>
        <w:rPr>
          <w:rFonts w:hint="default" w:ascii="仿宋" w:hAnsi="仿宋" w:eastAsia="仿宋"/>
          <w:color w:val="auto"/>
          <w:sz w:val="32"/>
          <w:szCs w:val="32"/>
          <w:lang w:val="en-US" w:eastAsia="zh-CN"/>
        </w:rPr>
        <w:t>培养学生精益求精的工匠精神、严谨求实的科学态度和勇于开拓的创新意识</w:t>
      </w:r>
      <w:r>
        <w:rPr>
          <w:rFonts w:hint="eastAsia" w:ascii="仿宋" w:hAnsi="仿宋" w:eastAsia="仿宋"/>
          <w:color w:val="auto"/>
          <w:sz w:val="32"/>
          <w:szCs w:val="32"/>
          <w:lang w:val="en-US" w:eastAsia="zh-CN"/>
        </w:rPr>
        <w:t>，具备运用工程观点解决制药生产中实际问题的基础能力。</w:t>
      </w:r>
    </w:p>
    <w:p>
      <w:pPr>
        <w:widowControl w:val="0"/>
        <w:numPr>
          <w:ilvl w:val="0"/>
          <w:numId w:val="0"/>
        </w:numPr>
        <w:spacing w:line="560" w:lineRule="exact"/>
        <w:ind w:firstLine="640" w:firstLineChars="200"/>
        <w:jc w:val="both"/>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4.生物化学</w:t>
      </w:r>
    </w:p>
    <w:p>
      <w:pPr>
        <w:spacing w:line="56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本课程主要讲述构成生物体的各类化学物质的结构、性质、功能、代谢、基因表达及调控等方面的基本理论、基本规律、基本概念有全面、系统的认识，牢固掌握生物化学与分子生物学中有关的基本原理，学会正确、科学地观察实验现象、记录实验结果、分析实验数据，掌握实验报告的正确书写方法。培养观察、分析、综合解决问题的能力，培养学生拥有一定的科学研究意识，具备科学严谨的工作态度和实事求是的工作作风。</w:t>
      </w:r>
    </w:p>
    <w:p>
      <w:pPr>
        <w:spacing w:line="56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5.药事管理与法规</w:t>
      </w:r>
    </w:p>
    <w:p>
      <w:pPr>
        <w:widowControl w:val="0"/>
        <w:numPr>
          <w:ilvl w:val="0"/>
          <w:numId w:val="0"/>
        </w:numPr>
        <w:spacing w:line="560" w:lineRule="exact"/>
        <w:ind w:firstLine="640" w:firstLineChars="200"/>
        <w:jc w:val="both"/>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本课程主要讲述</w:t>
      </w:r>
      <w:r>
        <w:rPr>
          <w:rFonts w:hint="eastAsia" w:ascii="仿宋" w:hAnsi="仿宋" w:eastAsia="仿宋"/>
          <w:color w:val="auto"/>
          <w:sz w:val="32"/>
          <w:szCs w:val="32"/>
        </w:rPr>
        <w:t>药品的研制、生产、流通、使用、价格及广告等活动相关的事项；新药、中药、现代药、特殊药品的管理， GMP、GSP及药品管理立法，药品的商标、广告、价格等方面的知识</w:t>
      </w:r>
      <w:r>
        <w:rPr>
          <w:rFonts w:hint="eastAsia" w:ascii="仿宋" w:hAnsi="仿宋" w:eastAsia="仿宋"/>
          <w:color w:val="auto"/>
          <w:sz w:val="32"/>
          <w:szCs w:val="32"/>
          <w:lang w:eastAsia="zh-CN"/>
        </w:rPr>
        <w:t>，培养学生培养学生运用药事管理相关法规处理各种药学实践中遇到的实际问题的能力；具有从事药品研发、生产、经营、使用等工作的基本能力；培养学生具备保障药品质量及管理的能力。</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（三）专业核心课程</w:t>
      </w:r>
    </w:p>
    <w:p>
      <w:pPr>
        <w:spacing w:line="56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1.生物制药工艺</w:t>
      </w:r>
    </w:p>
    <w:p>
      <w:pPr>
        <w:spacing w:line="56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本课程主要讲述生物</w:t>
      </w:r>
      <w:r>
        <w:rPr>
          <w:rFonts w:hint="eastAsia" w:ascii="仿宋" w:hAnsi="仿宋" w:eastAsia="仿宋"/>
          <w:color w:val="auto"/>
          <w:sz w:val="32"/>
          <w:szCs w:val="32"/>
        </w:rPr>
        <w:t>制药工艺的基础知识</w:t>
      </w:r>
      <w:r>
        <w:rPr>
          <w:rFonts w:hint="eastAsia" w:ascii="仿宋" w:hAnsi="仿宋" w:eastAsia="仿宋"/>
          <w:color w:val="auto"/>
          <w:sz w:val="32"/>
          <w:szCs w:val="32"/>
          <w:lang w:eastAsia="zh-CN"/>
        </w:rPr>
        <w:t>、</w:t>
      </w:r>
      <w:r>
        <w:rPr>
          <w:rFonts w:hint="eastAsia" w:ascii="仿宋" w:hAnsi="仿宋" w:eastAsia="仿宋"/>
          <w:color w:val="auto"/>
          <w:sz w:val="32"/>
          <w:szCs w:val="32"/>
        </w:rPr>
        <w:t>药物合成路线设计的基本方法、反应条件和影响因素</w:t>
      </w:r>
      <w:r>
        <w:rPr>
          <w:rFonts w:hint="eastAsia" w:ascii="仿宋" w:hAnsi="仿宋" w:eastAsia="仿宋"/>
          <w:color w:val="auto"/>
          <w:sz w:val="32"/>
          <w:szCs w:val="32"/>
          <w:lang w:eastAsia="zh-CN"/>
        </w:rPr>
        <w:t>及生物</w:t>
      </w:r>
      <w:r>
        <w:rPr>
          <w:rFonts w:hint="eastAsia" w:ascii="仿宋" w:hAnsi="仿宋" w:eastAsia="仿宋"/>
          <w:color w:val="auto"/>
          <w:sz w:val="32"/>
          <w:szCs w:val="32"/>
        </w:rPr>
        <w:t>制药工艺优化的方法；</w:t>
      </w:r>
      <w:r>
        <w:rPr>
          <w:rFonts w:hint="eastAsia" w:ascii="仿宋" w:hAnsi="仿宋" w:eastAsia="仿宋"/>
          <w:color w:val="auto"/>
          <w:sz w:val="32"/>
          <w:szCs w:val="32"/>
          <w:lang w:eastAsia="zh-CN"/>
        </w:rPr>
        <w:t>使学生</w:t>
      </w:r>
      <w:r>
        <w:rPr>
          <w:rFonts w:hint="eastAsia" w:ascii="仿宋" w:hAnsi="仿宋" w:eastAsia="仿宋"/>
          <w:color w:val="auto"/>
          <w:sz w:val="32"/>
          <w:szCs w:val="32"/>
        </w:rPr>
        <w:t>熟悉工艺规程的作用和制订方法</w:t>
      </w:r>
      <w:r>
        <w:rPr>
          <w:rFonts w:hint="eastAsia" w:ascii="仿宋" w:hAnsi="仿宋" w:eastAsia="仿宋"/>
          <w:color w:val="auto"/>
          <w:sz w:val="32"/>
          <w:szCs w:val="32"/>
          <w:lang w:eastAsia="zh-CN"/>
        </w:rPr>
        <w:t>、</w:t>
      </w:r>
      <w:r>
        <w:rPr>
          <w:rFonts w:hint="eastAsia" w:ascii="仿宋" w:hAnsi="仿宋" w:eastAsia="仿宋"/>
          <w:color w:val="auto"/>
          <w:sz w:val="32"/>
          <w:szCs w:val="32"/>
        </w:rPr>
        <w:t>典型代表药物的生产工艺流程及生产工艺规程</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培养学生工程观点与核心实践技能的重要课程，</w:t>
      </w:r>
      <w:r>
        <w:rPr>
          <w:rFonts w:hint="default" w:ascii="仿宋" w:hAnsi="仿宋" w:eastAsia="仿宋"/>
          <w:color w:val="auto"/>
          <w:sz w:val="32"/>
          <w:szCs w:val="32"/>
          <w:lang w:val="en-US" w:eastAsia="zh-CN"/>
        </w:rPr>
        <w:t>培养学生精益求精的工匠精神、严谨求实的科学态度和勇于开拓的创新意识</w:t>
      </w:r>
      <w:r>
        <w:rPr>
          <w:rFonts w:hint="eastAsia" w:ascii="仿宋" w:hAnsi="仿宋" w:eastAsia="仿宋"/>
          <w:color w:val="auto"/>
          <w:sz w:val="32"/>
          <w:szCs w:val="32"/>
          <w:lang w:val="en-US" w:eastAsia="zh-CN"/>
        </w:rPr>
        <w:t>。</w:t>
      </w:r>
    </w:p>
    <w:p>
      <w:pPr>
        <w:spacing w:line="56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2.生物药物制剂</w:t>
      </w:r>
    </w:p>
    <w:p>
      <w:pPr>
        <w:spacing w:line="56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本课程主要讲述GMP 对药品生产的要求和实施方法，会按照SOP 要求进行洁净服的更换，会进行灭菌操作、贴标、包装操作，会按规程正确填写各项生产记录，培养学生精益求精的工匠精神、严谨求实的科学态度和勇于开拓的创新意识。</w:t>
      </w:r>
    </w:p>
    <w:p>
      <w:pPr>
        <w:spacing w:line="56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3.生物发酵技术</w:t>
      </w:r>
    </w:p>
    <w:p>
      <w:pPr>
        <w:spacing w:line="56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本课程主要讲述 GMP 对药品生产的要求和实施方法，掌握生化药品制造的有关基础理论知识。能进行生化药品制造技能的基本操作。学生能观察、记录、分析、处理实验结果。能进行简单的设备维护和安全生产防护工作。知道种子制备，会无菌操作，显微镜使用，消毒锅使用；知道培养基灭菌的方法，会根据配方进行培养基配制，会发酵培养基消毒灭菌；知道发酵过程生产控制，会发酵 pH、温度控制，会补料、移种；知道发酵过程质量控制，会测定发酵液中的糖、氮。培养学生精益求精的工匠精神、严谨求实的科学态度。</w:t>
      </w:r>
    </w:p>
    <w:p>
      <w:pPr>
        <w:spacing w:line="56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4.生物药物分析与检测</w:t>
      </w:r>
    </w:p>
    <w:p>
      <w:pPr>
        <w:spacing w:line="56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本课程主要讲述掌握药品检验的 GMP 要求和实施方法；熟悉中国药典和国外药典有关生物药物分析检测的方法和技术；会样品的外观检测、不溶微粒检测、含糖量、pH 检测、水分检测、渗透压检测、电导检测、装量差异检测、蛋白浓度检测、电泳的操作，</w:t>
      </w:r>
      <w:r>
        <w:rPr>
          <w:rFonts w:hint="default" w:ascii="仿宋" w:hAnsi="仿宋" w:eastAsia="仿宋"/>
          <w:color w:val="auto"/>
          <w:sz w:val="32"/>
          <w:szCs w:val="32"/>
          <w:lang w:val="en-US" w:eastAsia="zh-CN"/>
        </w:rPr>
        <w:t>使学生获得必备的</w:t>
      </w:r>
      <w:r>
        <w:rPr>
          <w:rFonts w:hint="eastAsia" w:ascii="仿宋" w:hAnsi="仿宋" w:eastAsia="仿宋"/>
          <w:color w:val="auto"/>
          <w:sz w:val="32"/>
          <w:szCs w:val="32"/>
          <w:lang w:val="en-US" w:eastAsia="zh-CN"/>
        </w:rPr>
        <w:t>药物检测的</w:t>
      </w:r>
      <w:r>
        <w:rPr>
          <w:rFonts w:hint="default" w:ascii="仿宋" w:hAnsi="仿宋" w:eastAsia="仿宋"/>
          <w:color w:val="auto"/>
          <w:sz w:val="32"/>
          <w:szCs w:val="32"/>
          <w:lang w:val="en-US" w:eastAsia="zh-CN"/>
        </w:rPr>
        <w:t>基础知识、基本技能和基本方法，培养学生精益求精的工匠精神、严谨求实的科学态度</w:t>
      </w:r>
    </w:p>
    <w:p>
      <w:pPr>
        <w:spacing w:line="56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5.制药设备安装与调试</w:t>
      </w:r>
    </w:p>
    <w:p>
      <w:pPr>
        <w:spacing w:line="56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本课程主要讲述</w:t>
      </w:r>
      <w:r>
        <w:rPr>
          <w:rFonts w:hint="eastAsia" w:ascii="仿宋" w:hAnsi="仿宋" w:eastAsia="仿宋"/>
          <w:color w:val="auto"/>
          <w:sz w:val="32"/>
          <w:szCs w:val="32"/>
        </w:rPr>
        <w:t>制药设备及技术的有关规定</w:t>
      </w:r>
      <w:r>
        <w:rPr>
          <w:rFonts w:hint="eastAsia" w:ascii="仿宋" w:hAnsi="仿宋" w:eastAsia="仿宋"/>
          <w:color w:val="auto"/>
          <w:sz w:val="32"/>
          <w:szCs w:val="32"/>
          <w:lang w:eastAsia="zh-CN"/>
        </w:rPr>
        <w:t>、</w:t>
      </w:r>
      <w:r>
        <w:rPr>
          <w:rFonts w:hint="eastAsia" w:ascii="仿宋" w:hAnsi="仿宋" w:eastAsia="仿宋"/>
          <w:color w:val="auto"/>
          <w:sz w:val="32"/>
          <w:szCs w:val="32"/>
        </w:rPr>
        <w:t>制药设备材料、阀门基本知识及其应用；</w:t>
      </w:r>
      <w:r>
        <w:rPr>
          <w:rFonts w:hint="eastAsia" w:ascii="仿宋" w:hAnsi="仿宋" w:eastAsia="仿宋"/>
          <w:color w:val="auto"/>
          <w:sz w:val="32"/>
          <w:szCs w:val="32"/>
          <w:lang w:eastAsia="zh-CN"/>
        </w:rPr>
        <w:t>使学生掌握</w:t>
      </w:r>
      <w:r>
        <w:rPr>
          <w:rFonts w:hint="eastAsia" w:ascii="仿宋" w:hAnsi="仿宋" w:eastAsia="仿宋"/>
          <w:color w:val="auto"/>
          <w:sz w:val="32"/>
          <w:szCs w:val="32"/>
        </w:rPr>
        <w:t>原料药反应过程设备、药物的分离与提取设备、药物制剂生产设备、口服制剂生产设备原理和特点。</w:t>
      </w:r>
      <w:r>
        <w:rPr>
          <w:rFonts w:hint="eastAsia" w:ascii="仿宋" w:hAnsi="仿宋" w:eastAsia="仿宋"/>
          <w:color w:val="auto"/>
          <w:sz w:val="32"/>
          <w:szCs w:val="32"/>
          <w:lang w:eastAsia="zh-CN"/>
        </w:rPr>
        <w:t>培养学生</w:t>
      </w:r>
      <w:r>
        <w:rPr>
          <w:rFonts w:hint="eastAsia" w:ascii="仿宋" w:hAnsi="仿宋" w:eastAsia="仿宋"/>
          <w:color w:val="auto"/>
          <w:sz w:val="32"/>
          <w:szCs w:val="32"/>
        </w:rPr>
        <w:t>识读和分析制药设备的剖面图与工艺流程图</w:t>
      </w:r>
      <w:r>
        <w:rPr>
          <w:rFonts w:hint="eastAsia" w:ascii="仿宋" w:hAnsi="仿宋" w:eastAsia="仿宋"/>
          <w:color w:val="auto"/>
          <w:sz w:val="32"/>
          <w:szCs w:val="32"/>
          <w:lang w:eastAsia="zh-CN"/>
        </w:rPr>
        <w:t>的能力。</w:t>
      </w:r>
    </w:p>
    <w:p>
      <w:pPr>
        <w:spacing w:line="56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6.药理学</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本课程主要讲述</w:t>
      </w:r>
      <w:r>
        <w:rPr>
          <w:rFonts w:hint="eastAsia" w:ascii="仿宋" w:hAnsi="仿宋" w:eastAsia="仿宋"/>
          <w:color w:val="auto"/>
          <w:sz w:val="32"/>
          <w:szCs w:val="32"/>
        </w:rPr>
        <w:t>药理学基本知识和基本概念；理解合理用药防治疾病的理论根据，融会贯通；</w:t>
      </w:r>
      <w:r>
        <w:rPr>
          <w:rFonts w:hint="eastAsia" w:ascii="仿宋" w:hAnsi="仿宋" w:eastAsia="仿宋"/>
          <w:color w:val="auto"/>
          <w:sz w:val="32"/>
          <w:szCs w:val="32"/>
          <w:lang w:eastAsia="zh-CN"/>
        </w:rPr>
        <w:t>使学生掌握</w:t>
      </w:r>
      <w:r>
        <w:rPr>
          <w:rFonts w:hint="eastAsia" w:ascii="仿宋" w:hAnsi="仿宋" w:eastAsia="仿宋"/>
          <w:color w:val="auto"/>
          <w:sz w:val="32"/>
          <w:szCs w:val="32"/>
        </w:rPr>
        <w:t>常用药物的作用和临床应用不良反应及防治</w:t>
      </w:r>
      <w:r>
        <w:rPr>
          <w:rFonts w:hint="eastAsia" w:ascii="仿宋" w:hAnsi="仿宋" w:eastAsia="仿宋"/>
          <w:color w:val="auto"/>
          <w:sz w:val="32"/>
          <w:szCs w:val="32"/>
          <w:lang w:eastAsia="zh-CN"/>
        </w:rPr>
        <w:t>，培养学生</w:t>
      </w:r>
      <w:r>
        <w:rPr>
          <w:rFonts w:hint="eastAsia" w:ascii="仿宋" w:hAnsi="仿宋" w:eastAsia="仿宋"/>
          <w:color w:val="auto"/>
          <w:sz w:val="32"/>
          <w:szCs w:val="32"/>
        </w:rPr>
        <w:t>一定的临床合理用药的能力。</w:t>
      </w:r>
    </w:p>
    <w:p>
      <w:pPr>
        <w:widowControl w:val="0"/>
        <w:numPr>
          <w:ilvl w:val="0"/>
          <w:numId w:val="0"/>
        </w:numPr>
        <w:spacing w:line="560" w:lineRule="exact"/>
        <w:ind w:firstLine="640" w:firstLineChars="200"/>
        <w:jc w:val="both"/>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7.制药企业安全生产与健康防护</w:t>
      </w:r>
    </w:p>
    <w:p>
      <w:pPr>
        <w:spacing w:line="56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本课程主要讲述</w:t>
      </w:r>
      <w:r>
        <w:rPr>
          <w:rFonts w:hint="default" w:ascii="仿宋" w:hAnsi="仿宋" w:eastAsia="仿宋"/>
          <w:color w:val="auto"/>
          <w:sz w:val="32"/>
          <w:szCs w:val="32"/>
          <w:lang w:val="en-US" w:eastAsia="zh-CN"/>
        </w:rPr>
        <w:t>药品生产中QHSE管理体系的基本概念、术语、基本要素、内容和作用</w:t>
      </w:r>
      <w:r>
        <w:rPr>
          <w:rFonts w:hint="eastAsia" w:ascii="仿宋" w:hAnsi="仿宋" w:eastAsia="仿宋"/>
          <w:color w:val="auto"/>
          <w:sz w:val="32"/>
          <w:szCs w:val="32"/>
          <w:lang w:val="en-US" w:eastAsia="zh-CN"/>
        </w:rPr>
        <w:t>；</w:t>
      </w:r>
      <w:r>
        <w:rPr>
          <w:rFonts w:hint="default" w:ascii="仿宋" w:hAnsi="仿宋" w:eastAsia="仿宋"/>
          <w:color w:val="auto"/>
          <w:sz w:val="32"/>
          <w:szCs w:val="32"/>
          <w:lang w:val="en-US" w:eastAsia="zh-CN"/>
        </w:rPr>
        <w:t>QHSE管理体系建立的程序</w:t>
      </w:r>
      <w:r>
        <w:rPr>
          <w:rFonts w:hint="eastAsia" w:ascii="仿宋" w:hAnsi="仿宋" w:eastAsia="仿宋"/>
          <w:color w:val="auto"/>
          <w:sz w:val="32"/>
          <w:szCs w:val="32"/>
          <w:lang w:val="en-US" w:eastAsia="zh-CN"/>
        </w:rPr>
        <w:t>及</w:t>
      </w:r>
      <w:r>
        <w:rPr>
          <w:rFonts w:hint="default" w:ascii="仿宋" w:hAnsi="仿宋" w:eastAsia="仿宋"/>
          <w:color w:val="auto"/>
          <w:sz w:val="32"/>
          <w:szCs w:val="32"/>
          <w:lang w:val="en-US" w:eastAsia="zh-CN"/>
        </w:rPr>
        <w:t>QHSE操作实务；</w:t>
      </w:r>
      <w:r>
        <w:rPr>
          <w:rFonts w:hint="eastAsia" w:ascii="仿宋" w:hAnsi="仿宋" w:eastAsia="仿宋"/>
          <w:color w:val="auto"/>
          <w:sz w:val="32"/>
          <w:szCs w:val="32"/>
          <w:lang w:val="en-US" w:eastAsia="zh-CN"/>
        </w:rPr>
        <w:t>培养学生的</w:t>
      </w:r>
      <w:r>
        <w:rPr>
          <w:rFonts w:hint="default" w:ascii="仿宋" w:hAnsi="仿宋" w:eastAsia="仿宋"/>
          <w:color w:val="auto"/>
          <w:sz w:val="32"/>
          <w:szCs w:val="32"/>
          <w:lang w:val="en-US" w:eastAsia="zh-CN"/>
        </w:rPr>
        <w:t>安全</w:t>
      </w:r>
      <w:r>
        <w:rPr>
          <w:rFonts w:hint="eastAsia" w:ascii="仿宋" w:hAnsi="仿宋" w:eastAsia="仿宋"/>
          <w:color w:val="auto"/>
          <w:sz w:val="32"/>
          <w:szCs w:val="32"/>
          <w:lang w:val="en-US" w:eastAsia="zh-CN"/>
        </w:rPr>
        <w:t>意</w:t>
      </w:r>
      <w:r>
        <w:rPr>
          <w:rFonts w:hint="default" w:ascii="仿宋" w:hAnsi="仿宋" w:eastAsia="仿宋"/>
          <w:color w:val="auto"/>
          <w:sz w:val="32"/>
          <w:szCs w:val="32"/>
          <w:lang w:val="en-US" w:eastAsia="zh-CN"/>
        </w:rPr>
        <w:t>识和防护技能，以及常见职业病预防和急救；引领学生逐步形成清洁生产</w:t>
      </w:r>
      <w:r>
        <w:rPr>
          <w:rFonts w:hint="eastAsia" w:ascii="仿宋" w:hAnsi="仿宋" w:eastAsia="仿宋"/>
          <w:color w:val="auto"/>
          <w:sz w:val="32"/>
          <w:szCs w:val="32"/>
          <w:lang w:val="en-US" w:eastAsia="zh-CN"/>
        </w:rPr>
        <w:t>的理念。</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（四）专业拓展课程</w:t>
      </w:r>
    </w:p>
    <w:p>
      <w:pPr>
        <w:spacing w:line="560" w:lineRule="exact"/>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1.职业能力</w:t>
      </w:r>
    </w:p>
    <w:p>
      <w:pPr>
        <w:spacing w:line="560" w:lineRule="exact"/>
        <w:ind w:firstLine="640" w:firstLineChars="200"/>
        <w:rPr>
          <w:rFonts w:hint="eastAsia" w:ascii="仿宋" w:hAnsi="仿宋" w:eastAsia="仿宋" w:cs="仿宋"/>
          <w:b/>
          <w:bCs/>
          <w:color w:val="auto"/>
          <w:sz w:val="32"/>
          <w:szCs w:val="32"/>
        </w:rPr>
      </w:pPr>
      <w:r>
        <w:rPr>
          <w:rFonts w:hint="eastAsia" w:ascii="仿宋" w:hAnsi="仿宋" w:eastAsia="仿宋"/>
          <w:color w:val="auto"/>
          <w:sz w:val="32"/>
          <w:szCs w:val="32"/>
          <w:lang w:val="en-US" w:eastAsia="zh-CN"/>
        </w:rPr>
        <w:t>本课程主要讲述</w:t>
      </w:r>
      <w:r>
        <w:rPr>
          <w:rFonts w:hint="eastAsia" w:ascii="仿宋" w:hAnsi="仿宋" w:eastAsia="仿宋" w:cs="仿宋"/>
          <w:color w:val="auto"/>
          <w:sz w:val="32"/>
          <w:szCs w:val="32"/>
          <w:lang w:val="en-US" w:eastAsia="zh-CN"/>
        </w:rPr>
        <w:t>科技常识、人文常识、时事政治、专业基础知识等，培养学生养成良好的自学习惯，能自主查阅技术资料的能力，能够解决实际工作中的各种难题。</w:t>
      </w:r>
    </w:p>
    <w:p>
      <w:pPr>
        <w:spacing w:line="56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2.药物制剂生产</w:t>
      </w:r>
    </w:p>
    <w:p>
      <w:pPr>
        <w:spacing w:line="56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本课程主要讲述学生药品质量管理应知应会基本知识，具备相关仪器设备的清洁、使用和基本维护能力，物料管理基本能力，能从事口服固体制剂实际生产工作的能力，主要为学生参加药物制剂生产职业技能等级证书进行培训，全面提升药物制剂相关从业人员的职业技能水平。</w:t>
      </w:r>
    </w:p>
    <w:p>
      <w:pPr>
        <w:overflowPunct w:val="0"/>
        <w:adjustRightInd w:val="0"/>
        <w:ind w:firstLine="640" w:firstLineChars="200"/>
        <w:outlineLvl w:val="0"/>
        <w:rPr>
          <w:rFonts w:eastAsia="黑体"/>
          <w:color w:val="auto"/>
          <w:sz w:val="32"/>
          <w:szCs w:val="32"/>
        </w:rPr>
      </w:pPr>
      <w:r>
        <w:rPr>
          <w:rFonts w:hint="eastAsia" w:eastAsia="黑体"/>
          <w:color w:val="auto"/>
          <w:sz w:val="32"/>
          <w:szCs w:val="32"/>
        </w:rPr>
        <w:t>八</w:t>
      </w:r>
      <w:r>
        <w:rPr>
          <w:rFonts w:eastAsia="黑体"/>
          <w:color w:val="auto"/>
          <w:sz w:val="32"/>
          <w:szCs w:val="32"/>
        </w:rPr>
        <w:t>、教学进程总体安排</w:t>
      </w:r>
    </w:p>
    <w:tbl>
      <w:tblPr>
        <w:tblStyle w:val="6"/>
        <w:tblW w:w="9507" w:type="dxa"/>
        <w:tblInd w:w="0" w:type="dxa"/>
        <w:tblLayout w:type="fixed"/>
        <w:tblCellMar>
          <w:top w:w="0" w:type="dxa"/>
          <w:left w:w="108" w:type="dxa"/>
          <w:bottom w:w="0" w:type="dxa"/>
          <w:right w:w="108" w:type="dxa"/>
        </w:tblCellMar>
      </w:tblPr>
      <w:tblGrid>
        <w:gridCol w:w="818"/>
        <w:gridCol w:w="865"/>
        <w:gridCol w:w="2304"/>
        <w:gridCol w:w="436"/>
        <w:gridCol w:w="436"/>
        <w:gridCol w:w="436"/>
        <w:gridCol w:w="436"/>
        <w:gridCol w:w="436"/>
        <w:gridCol w:w="614"/>
        <w:gridCol w:w="1080"/>
        <w:gridCol w:w="802"/>
        <w:gridCol w:w="844"/>
      </w:tblGrid>
      <w:tr>
        <w:tblPrEx>
          <w:tblCellMar>
            <w:top w:w="0" w:type="dxa"/>
            <w:left w:w="108" w:type="dxa"/>
            <w:bottom w:w="0" w:type="dxa"/>
            <w:right w:w="108" w:type="dxa"/>
          </w:tblCellMar>
        </w:tblPrEx>
        <w:trPr>
          <w:trHeight w:val="454" w:hRule="atLeast"/>
        </w:trPr>
        <w:tc>
          <w:tcPr>
            <w:tcW w:w="9507" w:type="dxa"/>
            <w:gridSpan w:val="12"/>
            <w:tcBorders>
              <w:top w:val="single" w:color="auto" w:sz="4" w:space="0"/>
              <w:left w:val="single" w:color="auto" w:sz="4" w:space="0"/>
              <w:bottom w:val="single" w:color="auto" w:sz="4" w:space="0"/>
              <w:right w:val="single" w:color="000000" w:sz="4" w:space="0"/>
            </w:tcBorders>
            <w:shd w:val="clear" w:color="000000" w:fill="C0C0C0"/>
            <w:noWrap/>
            <w:vAlign w:val="center"/>
          </w:tcPr>
          <w:p>
            <w:pPr>
              <w:widowControl/>
              <w:jc w:val="center"/>
              <w:rPr>
                <w:rFonts w:ascii="宋体" w:hAnsi="宋体" w:cs="宋体"/>
                <w:color w:val="auto"/>
                <w:kern w:val="0"/>
                <w:sz w:val="24"/>
              </w:rPr>
            </w:pPr>
            <w:r>
              <w:rPr>
                <w:color w:val="auto"/>
              </w:rPr>
              <w:br w:type="page"/>
            </w:r>
            <w:r>
              <w:rPr>
                <w:rFonts w:hint="eastAsia" w:ascii="宋体" w:hAnsi="宋体" w:cs="宋体"/>
                <w:color w:val="auto"/>
                <w:kern w:val="0"/>
                <w:sz w:val="24"/>
              </w:rPr>
              <w:t xml:space="preserve">                            </w:t>
            </w:r>
            <w:r>
              <w:rPr>
                <w:rFonts w:hint="eastAsia" w:ascii="宋体" w:hAnsi="宋体" w:cs="宋体"/>
                <w:color w:val="auto"/>
                <w:kern w:val="0"/>
                <w:sz w:val="24"/>
                <w:lang w:eastAsia="zh-CN"/>
              </w:rPr>
              <w:t>生物制药工艺</w:t>
            </w:r>
            <w:r>
              <w:rPr>
                <w:rFonts w:hint="eastAsia" w:ascii="宋体" w:hAnsi="宋体" w:cs="宋体"/>
                <w:color w:val="auto"/>
                <w:kern w:val="0"/>
                <w:sz w:val="24"/>
              </w:rPr>
              <w:t>专业                  202</w:t>
            </w:r>
            <w:r>
              <w:rPr>
                <w:rFonts w:hint="eastAsia" w:ascii="宋体" w:hAnsi="宋体" w:cs="宋体"/>
                <w:color w:val="auto"/>
                <w:kern w:val="0"/>
                <w:sz w:val="24"/>
                <w:lang w:val="en-US" w:eastAsia="zh-CN"/>
              </w:rPr>
              <w:t>3</w:t>
            </w:r>
            <w:r>
              <w:rPr>
                <w:rFonts w:hint="eastAsia" w:ascii="宋体" w:hAnsi="宋体" w:cs="宋体"/>
                <w:color w:val="auto"/>
                <w:kern w:val="0"/>
                <w:sz w:val="24"/>
              </w:rPr>
              <w:t>年</w:t>
            </w:r>
            <w:r>
              <w:rPr>
                <w:rFonts w:hint="eastAsia" w:ascii="宋体" w:hAnsi="宋体" w:cs="宋体"/>
                <w:color w:val="auto"/>
                <w:kern w:val="0"/>
                <w:sz w:val="24"/>
                <w:lang w:val="en-US" w:eastAsia="zh-CN"/>
              </w:rPr>
              <w:t>8</w:t>
            </w:r>
            <w:r>
              <w:rPr>
                <w:rFonts w:hint="eastAsia" w:ascii="宋体" w:hAnsi="宋体" w:cs="宋体"/>
                <w:color w:val="auto"/>
                <w:kern w:val="0"/>
                <w:sz w:val="24"/>
              </w:rPr>
              <w:t>月</w:t>
            </w:r>
          </w:p>
        </w:tc>
      </w:tr>
      <w:tr>
        <w:tblPrEx>
          <w:tblCellMar>
            <w:top w:w="0" w:type="dxa"/>
            <w:left w:w="108" w:type="dxa"/>
            <w:bottom w:w="0" w:type="dxa"/>
            <w:right w:w="108" w:type="dxa"/>
          </w:tblCellMar>
        </w:tblPrEx>
        <w:trPr>
          <w:trHeight w:val="454" w:hRule="atLeast"/>
        </w:trPr>
        <w:tc>
          <w:tcPr>
            <w:tcW w:w="818" w:type="dxa"/>
            <w:vMerge w:val="restart"/>
            <w:tcBorders>
              <w:top w:val="nil"/>
              <w:left w:val="single" w:color="auto" w:sz="4" w:space="0"/>
              <w:bottom w:val="single" w:color="000000"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865" w:type="dxa"/>
            <w:vMerge w:val="restart"/>
            <w:tcBorders>
              <w:top w:val="nil"/>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序号</w:t>
            </w:r>
          </w:p>
        </w:tc>
        <w:tc>
          <w:tcPr>
            <w:tcW w:w="2304" w:type="dxa"/>
            <w:vMerge w:val="restart"/>
            <w:tcBorders>
              <w:top w:val="nil"/>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课程名称</w:t>
            </w:r>
          </w:p>
        </w:tc>
        <w:tc>
          <w:tcPr>
            <w:tcW w:w="2794" w:type="dxa"/>
            <w:gridSpan w:val="6"/>
            <w:tcBorders>
              <w:top w:val="single" w:color="auto" w:sz="4" w:space="0"/>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各学期周学时分配</w:t>
            </w:r>
          </w:p>
        </w:tc>
        <w:tc>
          <w:tcPr>
            <w:tcW w:w="1080" w:type="dxa"/>
            <w:vMerge w:val="restart"/>
            <w:tcBorders>
              <w:top w:val="nil"/>
              <w:left w:val="single" w:color="auto" w:sz="4" w:space="0"/>
              <w:bottom w:val="single" w:color="000000"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总学时</w:t>
            </w:r>
          </w:p>
        </w:tc>
        <w:tc>
          <w:tcPr>
            <w:tcW w:w="1646" w:type="dxa"/>
            <w:gridSpan w:val="2"/>
            <w:tcBorders>
              <w:top w:val="single" w:color="auto" w:sz="4" w:space="0"/>
              <w:left w:val="nil"/>
              <w:bottom w:val="single" w:color="auto" w:sz="4" w:space="0"/>
              <w:right w:val="single" w:color="000000"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课程类型</w:t>
            </w:r>
          </w:p>
        </w:tc>
      </w:tr>
      <w:tr>
        <w:tblPrEx>
          <w:tblCellMar>
            <w:top w:w="0" w:type="dxa"/>
            <w:left w:w="108" w:type="dxa"/>
            <w:bottom w:w="0" w:type="dxa"/>
            <w:right w:w="108" w:type="dxa"/>
          </w:tblCellMar>
        </w:tblPrEx>
        <w:trPr>
          <w:trHeight w:val="454" w:hRule="atLeast"/>
        </w:trPr>
        <w:tc>
          <w:tcPr>
            <w:tcW w:w="8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230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72" w:type="dxa"/>
            <w:gridSpan w:val="2"/>
            <w:tcBorders>
              <w:top w:val="single" w:color="auto" w:sz="4" w:space="0"/>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第一学年</w:t>
            </w:r>
          </w:p>
        </w:tc>
        <w:tc>
          <w:tcPr>
            <w:tcW w:w="872" w:type="dxa"/>
            <w:gridSpan w:val="2"/>
            <w:tcBorders>
              <w:top w:val="single" w:color="auto" w:sz="4" w:space="0"/>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第二学年</w:t>
            </w:r>
          </w:p>
        </w:tc>
        <w:tc>
          <w:tcPr>
            <w:tcW w:w="1050" w:type="dxa"/>
            <w:gridSpan w:val="2"/>
            <w:tcBorders>
              <w:top w:val="single" w:color="auto" w:sz="4" w:space="0"/>
              <w:left w:val="nil"/>
              <w:bottom w:val="single" w:color="auto" w:sz="4" w:space="0"/>
              <w:right w:val="single" w:color="000000"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第三学年</w:t>
            </w:r>
          </w:p>
        </w:tc>
        <w:tc>
          <w:tcPr>
            <w:tcW w:w="108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02" w:type="dxa"/>
            <w:vMerge w:val="restart"/>
            <w:tcBorders>
              <w:top w:val="nil"/>
              <w:left w:val="single" w:color="auto" w:sz="4" w:space="0"/>
              <w:bottom w:val="nil"/>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理论</w:t>
            </w:r>
          </w:p>
        </w:tc>
        <w:tc>
          <w:tcPr>
            <w:tcW w:w="844" w:type="dxa"/>
            <w:vMerge w:val="restart"/>
            <w:tcBorders>
              <w:top w:val="nil"/>
              <w:left w:val="single" w:color="auto" w:sz="4" w:space="0"/>
              <w:bottom w:val="nil"/>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实践</w:t>
            </w:r>
          </w:p>
        </w:tc>
      </w:tr>
      <w:tr>
        <w:tblPrEx>
          <w:tblCellMar>
            <w:top w:w="0" w:type="dxa"/>
            <w:left w:w="108" w:type="dxa"/>
            <w:bottom w:w="0" w:type="dxa"/>
            <w:right w:w="108" w:type="dxa"/>
          </w:tblCellMar>
        </w:tblPrEx>
        <w:trPr>
          <w:trHeight w:val="454" w:hRule="atLeast"/>
        </w:trPr>
        <w:tc>
          <w:tcPr>
            <w:tcW w:w="8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230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一</w:t>
            </w:r>
          </w:p>
        </w:tc>
        <w:tc>
          <w:tcPr>
            <w:tcW w:w="436"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二</w:t>
            </w:r>
          </w:p>
        </w:tc>
        <w:tc>
          <w:tcPr>
            <w:tcW w:w="436"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三</w:t>
            </w:r>
          </w:p>
        </w:tc>
        <w:tc>
          <w:tcPr>
            <w:tcW w:w="436"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四</w:t>
            </w:r>
          </w:p>
        </w:tc>
        <w:tc>
          <w:tcPr>
            <w:tcW w:w="436"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五</w:t>
            </w:r>
          </w:p>
        </w:tc>
        <w:tc>
          <w:tcPr>
            <w:tcW w:w="614"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六</w:t>
            </w: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802"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rPr>
            </w:pPr>
          </w:p>
        </w:tc>
        <w:tc>
          <w:tcPr>
            <w:tcW w:w="844"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454" w:hRule="atLeast"/>
        </w:trPr>
        <w:tc>
          <w:tcPr>
            <w:tcW w:w="818" w:type="dxa"/>
            <w:tcBorders>
              <w:top w:val="nil"/>
              <w:left w:val="single" w:color="auto" w:sz="4" w:space="0"/>
              <w:bottom w:val="nil"/>
              <w:right w:val="single" w:color="auto" w:sz="4" w:space="0"/>
            </w:tcBorders>
            <w:shd w:val="clear" w:color="auto" w:fill="auto"/>
            <w:textDirection w:val="tbRlV"/>
            <w:vAlign w:val="center"/>
          </w:tcPr>
          <w:p>
            <w:pPr>
              <w:widowControl/>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1</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语文</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6</w:t>
            </w:r>
          </w:p>
        </w:tc>
        <w:tc>
          <w:tcPr>
            <w:tcW w:w="6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6</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color w:val="auto"/>
                <w:kern w:val="0"/>
                <w:sz w:val="22"/>
                <w:szCs w:val="22"/>
                <w:lang w:val="en-US"/>
              </w:rPr>
            </w:pPr>
            <w:r>
              <w:rPr>
                <w:rFonts w:hint="eastAsia" w:ascii="宋体" w:hAnsi="宋体" w:cs="宋体"/>
                <w:color w:val="auto"/>
                <w:kern w:val="0"/>
                <w:sz w:val="22"/>
                <w:szCs w:val="22"/>
                <w:lang w:val="en-US" w:eastAsia="zh-CN"/>
              </w:rPr>
              <w:t>348</w:t>
            </w:r>
          </w:p>
        </w:tc>
        <w:tc>
          <w:tcPr>
            <w:tcW w:w="8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color w:val="auto"/>
                <w:kern w:val="0"/>
                <w:sz w:val="22"/>
                <w:szCs w:val="22"/>
                <w:lang w:val="en-US"/>
              </w:rPr>
            </w:pPr>
            <w:r>
              <w:rPr>
                <w:rFonts w:hint="eastAsia" w:ascii="宋体" w:hAnsi="宋体" w:cs="宋体"/>
                <w:color w:val="auto"/>
                <w:kern w:val="0"/>
                <w:sz w:val="22"/>
                <w:szCs w:val="22"/>
                <w:lang w:val="en-US" w:eastAsia="zh-CN"/>
              </w:rPr>
              <w:t>348</w:t>
            </w:r>
          </w:p>
        </w:tc>
        <w:tc>
          <w:tcPr>
            <w:tcW w:w="84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54" w:hRule="atLeast"/>
        </w:trPr>
        <w:tc>
          <w:tcPr>
            <w:tcW w:w="818" w:type="dxa"/>
            <w:tcBorders>
              <w:top w:val="nil"/>
              <w:left w:val="single" w:color="auto" w:sz="4" w:space="0"/>
              <w:bottom w:val="nil"/>
              <w:right w:val="single" w:color="auto" w:sz="4" w:space="0"/>
            </w:tcBorders>
            <w:shd w:val="clear" w:color="auto" w:fill="auto"/>
            <w:textDirection w:val="tbRlV"/>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2</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数学</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6</w:t>
            </w:r>
          </w:p>
        </w:tc>
        <w:tc>
          <w:tcPr>
            <w:tcW w:w="6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6</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348</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color w:val="auto"/>
              </w:rPr>
            </w:pPr>
            <w:r>
              <w:rPr>
                <w:rFonts w:hint="eastAsia" w:ascii="宋体" w:hAnsi="宋体" w:cs="宋体"/>
                <w:color w:val="auto"/>
                <w:kern w:val="0"/>
                <w:sz w:val="22"/>
                <w:szCs w:val="22"/>
                <w:lang w:val="en-US" w:eastAsia="zh-CN"/>
              </w:rPr>
              <w:t>348</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54" w:hRule="atLeast"/>
        </w:trPr>
        <w:tc>
          <w:tcPr>
            <w:tcW w:w="818" w:type="dxa"/>
            <w:tcBorders>
              <w:top w:val="nil"/>
              <w:left w:val="single" w:color="auto" w:sz="4" w:space="0"/>
              <w:bottom w:val="nil"/>
              <w:right w:val="single" w:color="auto" w:sz="4" w:space="0"/>
            </w:tcBorders>
            <w:shd w:val="clear" w:color="auto" w:fill="auto"/>
            <w:textDirection w:val="tbRlV"/>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3</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英语</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6</w:t>
            </w:r>
          </w:p>
        </w:tc>
        <w:tc>
          <w:tcPr>
            <w:tcW w:w="6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6</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348</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color w:val="auto"/>
              </w:rPr>
            </w:pPr>
            <w:r>
              <w:rPr>
                <w:rFonts w:hint="eastAsia" w:ascii="宋体" w:hAnsi="宋体" w:cs="宋体"/>
                <w:color w:val="auto"/>
                <w:kern w:val="0"/>
                <w:sz w:val="22"/>
                <w:szCs w:val="22"/>
                <w:lang w:val="en-US" w:eastAsia="zh-CN"/>
              </w:rPr>
              <w:t>348</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54" w:hRule="atLeast"/>
        </w:trPr>
        <w:tc>
          <w:tcPr>
            <w:tcW w:w="818" w:type="dxa"/>
            <w:vMerge w:val="restart"/>
            <w:tcBorders>
              <w:top w:val="nil"/>
              <w:left w:val="single" w:color="auto" w:sz="4" w:space="0"/>
              <w:right w:val="single" w:color="auto" w:sz="4" w:space="0"/>
            </w:tcBorders>
            <w:shd w:val="clear" w:color="auto" w:fill="auto"/>
            <w:textDirection w:val="tbRlV"/>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公共基础课</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4</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中国特色社会主义</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6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5</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心理健康与职业生涯</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6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6</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哲学与人生</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6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7</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职业道德与法治</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6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8</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信息技术</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6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144</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144</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9</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体育与健康</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6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180</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180</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10</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音乐欣赏</w:t>
            </w:r>
          </w:p>
          <w:p>
            <w:pPr>
              <w:widowControl/>
              <w:jc w:val="center"/>
              <w:rPr>
                <w:rFonts w:ascii="宋体" w:hAnsi="宋体" w:cs="宋体"/>
                <w:color w:val="auto"/>
                <w:kern w:val="0"/>
                <w:sz w:val="22"/>
                <w:szCs w:val="22"/>
              </w:rPr>
            </w:pPr>
            <w:r>
              <w:rPr>
                <w:rFonts w:hint="eastAsia" w:ascii="宋体" w:hAnsi="宋体" w:cs="宋体"/>
                <w:color w:val="auto"/>
                <w:kern w:val="0"/>
                <w:sz w:val="22"/>
                <w:szCs w:val="22"/>
              </w:rPr>
              <w:t>（礼乐修身）</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6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2"/>
                <w:szCs w:val="22"/>
              </w:rPr>
              <w:t>36</w:t>
            </w:r>
            <w:r>
              <w:rPr>
                <w:rFonts w:hint="eastAsia" w:ascii="宋体" w:hAnsi="宋体" w:cs="宋体"/>
                <w:color w:val="auto"/>
                <w:kern w:val="0"/>
                <w:sz w:val="24"/>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11</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美术欣赏（书法）</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1</w:t>
            </w: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1</w:t>
            </w: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6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rPr>
              <w:t>　1</w:t>
            </w:r>
            <w:r>
              <w:rPr>
                <w:rFonts w:hint="eastAsia" w:ascii="宋体" w:hAnsi="宋体" w:cs="宋体"/>
                <w:color w:val="auto"/>
                <w:kern w:val="0"/>
                <w:sz w:val="22"/>
                <w:szCs w:val="22"/>
                <w:lang w:val="en-US" w:eastAsia="zh-CN"/>
              </w:rPr>
              <w:t>2</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历史</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1</w:t>
            </w: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1</w:t>
            </w: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6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36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rPr>
              <w:t>　1</w:t>
            </w:r>
            <w:r>
              <w:rPr>
                <w:rFonts w:hint="eastAsia" w:ascii="宋体" w:hAnsi="宋体" w:cs="宋体"/>
                <w:color w:val="auto"/>
                <w:kern w:val="0"/>
                <w:sz w:val="22"/>
                <w:szCs w:val="22"/>
                <w:lang w:val="en-US" w:eastAsia="zh-CN"/>
              </w:rPr>
              <w:t>3</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就业指导</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6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14</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rPr>
              <w:t>劳动</w:t>
            </w:r>
            <w:r>
              <w:rPr>
                <w:rFonts w:hint="eastAsia" w:ascii="宋体" w:hAnsi="宋体" w:cs="宋体"/>
                <w:color w:val="auto"/>
                <w:kern w:val="0"/>
                <w:sz w:val="22"/>
                <w:szCs w:val="22"/>
                <w:lang w:val="en-US" w:eastAsia="zh-CN"/>
              </w:rPr>
              <w:t>教育实践</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2"/>
                <w:szCs w:val="22"/>
              </w:rPr>
            </w:pPr>
          </w:p>
        </w:tc>
        <w:tc>
          <w:tcPr>
            <w:tcW w:w="61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2"/>
                <w:szCs w:val="22"/>
                <w:lang w:val="en-US" w:eastAsia="zh-CN"/>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35</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5</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30</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rPr>
              <w:t>　1</w:t>
            </w:r>
            <w:r>
              <w:rPr>
                <w:rFonts w:hint="eastAsia" w:ascii="宋体" w:hAnsi="宋体" w:cs="宋体"/>
                <w:color w:val="auto"/>
                <w:kern w:val="0"/>
                <w:sz w:val="22"/>
                <w:szCs w:val="22"/>
                <w:lang w:val="en-US" w:eastAsia="zh-CN"/>
              </w:rPr>
              <w:t>5</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职业能力</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61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4</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88</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88</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p>
        </w:tc>
        <w:tc>
          <w:tcPr>
            <w:tcW w:w="865"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hint="eastAsia" w:ascii="宋体" w:hAnsi="宋体" w:cs="宋体" w:eastAsiaTheme="minorEastAsia"/>
                <w:color w:val="auto"/>
                <w:kern w:val="0"/>
                <w:sz w:val="22"/>
                <w:szCs w:val="22"/>
                <w:lang w:val="en-US" w:eastAsia="zh-CN"/>
              </w:rPr>
            </w:pPr>
            <w:r>
              <w:rPr>
                <w:rFonts w:ascii="宋体" w:hAnsi="宋体" w:cs="宋体"/>
                <w:color w:val="auto"/>
                <w:kern w:val="0"/>
                <w:sz w:val="22"/>
                <w:szCs w:val="22"/>
              </w:rPr>
              <w:t xml:space="preserve"> </w:t>
            </w:r>
            <w:r>
              <w:rPr>
                <w:rFonts w:hint="eastAsia" w:ascii="宋体" w:hAnsi="宋体" w:cs="宋体"/>
                <w:color w:val="auto"/>
                <w:kern w:val="0"/>
                <w:sz w:val="22"/>
                <w:szCs w:val="22"/>
              </w:rPr>
              <w:t>1</w:t>
            </w:r>
            <w:r>
              <w:rPr>
                <w:rFonts w:hint="eastAsia" w:ascii="宋体" w:hAnsi="宋体" w:cs="宋体"/>
                <w:color w:val="auto"/>
                <w:kern w:val="0"/>
                <w:sz w:val="22"/>
                <w:szCs w:val="22"/>
                <w:lang w:val="en-US" w:eastAsia="zh-CN"/>
              </w:rPr>
              <w:t>6</w:t>
            </w:r>
          </w:p>
        </w:tc>
        <w:tc>
          <w:tcPr>
            <w:tcW w:w="2304"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军事训练</w:t>
            </w: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p>
        </w:tc>
        <w:tc>
          <w:tcPr>
            <w:tcW w:w="614"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p>
        </w:tc>
        <w:tc>
          <w:tcPr>
            <w:tcW w:w="1080"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r>
              <w:rPr>
                <w:rFonts w:ascii="宋体" w:hAnsi="宋体" w:cs="宋体"/>
                <w:color w:val="auto"/>
                <w:kern w:val="0"/>
                <w:sz w:val="22"/>
                <w:szCs w:val="22"/>
              </w:rPr>
              <w:t>6</w:t>
            </w:r>
          </w:p>
        </w:tc>
        <w:tc>
          <w:tcPr>
            <w:tcW w:w="802"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r>
              <w:rPr>
                <w:rFonts w:ascii="宋体" w:hAnsi="宋体" w:cs="宋体"/>
                <w:color w:val="auto"/>
                <w:kern w:val="0"/>
                <w:sz w:val="22"/>
                <w:szCs w:val="22"/>
              </w:rPr>
              <w:t>2</w:t>
            </w:r>
          </w:p>
        </w:tc>
        <w:tc>
          <w:tcPr>
            <w:tcW w:w="844"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r>
              <w:rPr>
                <w:rFonts w:ascii="宋体" w:hAnsi="宋体" w:cs="宋体"/>
                <w:color w:val="auto"/>
                <w:kern w:val="0"/>
                <w:sz w:val="22"/>
                <w:szCs w:val="22"/>
              </w:rPr>
              <w:t>4</w:t>
            </w:r>
          </w:p>
        </w:tc>
      </w:tr>
      <w:tr>
        <w:tblPrEx>
          <w:tblCellMar>
            <w:top w:w="0" w:type="dxa"/>
            <w:left w:w="108" w:type="dxa"/>
            <w:bottom w:w="0" w:type="dxa"/>
            <w:right w:w="108" w:type="dxa"/>
          </w:tblCellMar>
        </w:tblPrEx>
        <w:trPr>
          <w:trHeight w:val="454" w:hRule="atLeast"/>
        </w:trPr>
        <w:tc>
          <w:tcPr>
            <w:tcW w:w="3987" w:type="dxa"/>
            <w:gridSpan w:val="3"/>
            <w:tcBorders>
              <w:top w:val="single" w:color="auto" w:sz="4" w:space="0"/>
              <w:left w:val="single" w:color="auto" w:sz="4" w:space="0"/>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公共基础课小结</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rPr>
              <w:t>1</w:t>
            </w:r>
            <w:r>
              <w:rPr>
                <w:rFonts w:hint="eastAsia" w:ascii="宋体" w:hAnsi="宋体" w:cs="宋体"/>
                <w:color w:val="auto"/>
                <w:kern w:val="0"/>
                <w:sz w:val="22"/>
                <w:szCs w:val="22"/>
                <w:lang w:val="en-US" w:eastAsia="zh-CN"/>
              </w:rPr>
              <w:t>7</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rPr>
              <w:t>1</w:t>
            </w:r>
            <w:r>
              <w:rPr>
                <w:rFonts w:hint="eastAsia" w:ascii="宋体" w:hAnsi="宋体" w:cs="宋体"/>
                <w:color w:val="auto"/>
                <w:kern w:val="0"/>
                <w:sz w:val="22"/>
                <w:szCs w:val="22"/>
                <w:lang w:val="en-US" w:eastAsia="zh-CN"/>
              </w:rPr>
              <w:t>7</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rPr>
              <w:t>1</w:t>
            </w:r>
            <w:r>
              <w:rPr>
                <w:rFonts w:hint="eastAsia" w:ascii="宋体" w:hAnsi="宋体" w:cs="宋体"/>
                <w:color w:val="auto"/>
                <w:kern w:val="0"/>
                <w:sz w:val="22"/>
                <w:szCs w:val="22"/>
                <w:lang w:val="en-US" w:eastAsia="zh-CN"/>
              </w:rPr>
              <w:t>6</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rPr>
              <w:t>1</w:t>
            </w:r>
            <w:r>
              <w:rPr>
                <w:rFonts w:hint="eastAsia" w:ascii="宋体" w:hAnsi="宋体" w:cs="宋体"/>
                <w:color w:val="auto"/>
                <w:kern w:val="0"/>
                <w:sz w:val="22"/>
                <w:szCs w:val="22"/>
                <w:lang w:val="en-US" w:eastAsia="zh-CN"/>
              </w:rPr>
              <w:t>6</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20</w:t>
            </w:r>
          </w:p>
        </w:tc>
        <w:tc>
          <w:tcPr>
            <w:tcW w:w="614"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22</w:t>
            </w:r>
          </w:p>
        </w:tc>
        <w:tc>
          <w:tcPr>
            <w:tcW w:w="1080"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rPr>
              <w:t>1</w:t>
            </w:r>
            <w:r>
              <w:rPr>
                <w:rFonts w:hint="eastAsia" w:ascii="宋体" w:hAnsi="宋体" w:cs="宋体"/>
                <w:color w:val="auto"/>
                <w:kern w:val="0"/>
                <w:sz w:val="22"/>
                <w:szCs w:val="22"/>
                <w:lang w:val="en-US" w:eastAsia="zh-CN"/>
              </w:rPr>
              <w:t>817</w:t>
            </w:r>
          </w:p>
        </w:tc>
        <w:tc>
          <w:tcPr>
            <w:tcW w:w="802"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rPr>
              <w:t>1</w:t>
            </w:r>
            <w:r>
              <w:rPr>
                <w:rFonts w:hint="eastAsia" w:ascii="宋体" w:hAnsi="宋体" w:cs="宋体"/>
                <w:color w:val="auto"/>
                <w:kern w:val="0"/>
                <w:sz w:val="22"/>
                <w:szCs w:val="22"/>
                <w:lang w:val="en-US" w:eastAsia="zh-CN"/>
              </w:rPr>
              <w:t>365</w:t>
            </w:r>
          </w:p>
        </w:tc>
        <w:tc>
          <w:tcPr>
            <w:tcW w:w="844"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r>
              <w:rPr>
                <w:rFonts w:ascii="宋体" w:hAnsi="宋体" w:cs="宋体"/>
                <w:color w:val="auto"/>
                <w:kern w:val="0"/>
                <w:sz w:val="22"/>
                <w:szCs w:val="22"/>
              </w:rPr>
              <w:t>5</w:t>
            </w:r>
            <w:r>
              <w:rPr>
                <w:rFonts w:hint="eastAsia" w:ascii="宋体" w:hAnsi="宋体" w:cs="宋体"/>
                <w:color w:val="auto"/>
                <w:kern w:val="0"/>
                <w:sz w:val="22"/>
                <w:szCs w:val="22"/>
                <w:lang w:val="en-US" w:eastAsia="zh-CN"/>
              </w:rPr>
              <w:t>2</w:t>
            </w: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454" w:hRule="atLeast"/>
        </w:trPr>
        <w:tc>
          <w:tcPr>
            <w:tcW w:w="818" w:type="dxa"/>
            <w:vMerge w:val="restart"/>
            <w:tcBorders>
              <w:top w:val="nil"/>
              <w:left w:val="single" w:color="auto" w:sz="4" w:space="0"/>
              <w:right w:val="single" w:color="auto" w:sz="4" w:space="0"/>
            </w:tcBorders>
            <w:shd w:val="clear" w:color="auto" w:fill="auto"/>
            <w:textDirection w:val="tbRlV"/>
            <w:vAlign w:val="center"/>
          </w:tcPr>
          <w:p>
            <w:pPr>
              <w:jc w:val="center"/>
              <w:rPr>
                <w:rFonts w:ascii="宋体" w:hAnsi="宋体" w:cs="宋体"/>
                <w:color w:val="auto"/>
                <w:kern w:val="0"/>
                <w:sz w:val="22"/>
                <w:szCs w:val="22"/>
              </w:rPr>
            </w:pPr>
            <w:r>
              <w:rPr>
                <w:rFonts w:hint="eastAsia" w:ascii="宋体" w:hAnsi="宋体" w:cs="宋体"/>
                <w:color w:val="auto"/>
                <w:kern w:val="0"/>
                <w:sz w:val="22"/>
                <w:szCs w:val="22"/>
              </w:rPr>
              <w:t>专业课</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药用基础</w:t>
            </w:r>
            <w:r>
              <w:rPr>
                <w:rFonts w:hint="eastAsia" w:ascii="宋体" w:hAnsi="宋体" w:cs="宋体"/>
                <w:color w:val="auto"/>
                <w:kern w:val="0"/>
                <w:sz w:val="22"/>
                <w:szCs w:val="22"/>
              </w:rPr>
              <w:t>化学</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4</w:t>
            </w: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6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144</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72</w:t>
            </w: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4"/>
                <w:lang w:val="en-US" w:eastAsia="zh-CN"/>
              </w:rPr>
            </w:pPr>
            <w:r>
              <w:rPr>
                <w:rFonts w:hint="eastAsia" w:ascii="宋体" w:hAnsi="宋体" w:cs="宋体"/>
                <w:color w:val="auto"/>
                <w:kern w:val="0"/>
                <w:sz w:val="22"/>
                <w:szCs w:val="22"/>
                <w:lang w:val="en-US" w:eastAsia="zh-CN"/>
              </w:rPr>
              <w:t>72</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化工单元操作</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4</w:t>
            </w: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6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144</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72</w:t>
            </w: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72</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eastAsia="zh-CN"/>
              </w:rPr>
              <w:t>生物</w:t>
            </w:r>
            <w:r>
              <w:rPr>
                <w:rFonts w:hint="eastAsia" w:ascii="宋体" w:hAnsi="宋体" w:cs="宋体"/>
                <w:color w:val="auto"/>
                <w:kern w:val="0"/>
                <w:sz w:val="22"/>
                <w:szCs w:val="22"/>
              </w:rPr>
              <w:t>化学</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4</w:t>
            </w: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6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both"/>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rPr>
              <w:t>　</w:t>
            </w:r>
            <w:r>
              <w:rPr>
                <w:rFonts w:hint="eastAsia" w:ascii="宋体" w:hAnsi="宋体" w:cs="宋体"/>
                <w:color w:val="auto"/>
                <w:kern w:val="0"/>
                <w:sz w:val="22"/>
                <w:szCs w:val="22"/>
                <w:lang w:val="en-US" w:eastAsia="zh-CN"/>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微生物基础</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6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both"/>
              <w:rPr>
                <w:rFonts w:hint="default"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rPr>
              <w:t>　</w:t>
            </w:r>
            <w:r>
              <w:rPr>
                <w:rFonts w:hint="eastAsia" w:ascii="宋体" w:hAnsi="宋体" w:cs="宋体"/>
                <w:color w:val="auto"/>
                <w:kern w:val="0"/>
                <w:sz w:val="22"/>
                <w:szCs w:val="22"/>
                <w:lang w:val="en-US" w:eastAsia="zh-CN"/>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lang w:val="en-US" w:eastAsia="zh-CN"/>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药理学</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4</w:t>
            </w: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6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both"/>
              <w:rPr>
                <w:rFonts w:hint="default"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rPr>
              <w:t>　</w:t>
            </w:r>
            <w:r>
              <w:rPr>
                <w:rFonts w:hint="eastAsia" w:ascii="宋体" w:hAnsi="宋体" w:cs="宋体"/>
                <w:color w:val="auto"/>
                <w:kern w:val="0"/>
                <w:sz w:val="22"/>
                <w:szCs w:val="22"/>
                <w:lang w:val="en-US" w:eastAsia="zh-CN"/>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lang w:val="en-US" w:eastAsia="zh-CN"/>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eastAsia="zh-CN"/>
              </w:rPr>
              <w:t>生物</w:t>
            </w:r>
            <w:r>
              <w:rPr>
                <w:rFonts w:hint="eastAsia" w:ascii="宋体" w:hAnsi="宋体" w:cs="宋体"/>
                <w:color w:val="auto"/>
                <w:kern w:val="0"/>
                <w:sz w:val="22"/>
                <w:szCs w:val="22"/>
              </w:rPr>
              <w:t>药物</w:t>
            </w:r>
            <w:r>
              <w:rPr>
                <w:rFonts w:hint="eastAsia" w:ascii="宋体" w:hAnsi="宋体" w:cs="宋体"/>
                <w:color w:val="auto"/>
                <w:kern w:val="0"/>
                <w:sz w:val="22"/>
                <w:szCs w:val="22"/>
                <w:lang w:eastAsia="zh-CN"/>
              </w:rPr>
              <w:t>分析与</w:t>
            </w:r>
            <w:r>
              <w:rPr>
                <w:rFonts w:hint="eastAsia" w:ascii="宋体" w:hAnsi="宋体" w:cs="宋体"/>
                <w:color w:val="auto"/>
                <w:kern w:val="0"/>
                <w:sz w:val="22"/>
                <w:szCs w:val="22"/>
              </w:rPr>
              <w:t>检测</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6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both"/>
              <w:rPr>
                <w:rFonts w:hint="default"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rPr>
              <w:t>　</w:t>
            </w:r>
            <w:r>
              <w:rPr>
                <w:rFonts w:hint="eastAsia" w:ascii="宋体" w:hAnsi="宋体" w:cs="宋体"/>
                <w:color w:val="auto"/>
                <w:kern w:val="0"/>
                <w:sz w:val="22"/>
                <w:szCs w:val="22"/>
                <w:lang w:val="en-US" w:eastAsia="zh-CN"/>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lang w:val="en-US" w:eastAsia="zh-CN"/>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eastAsia="zh-CN"/>
              </w:rPr>
            </w:pPr>
            <w:r>
              <w:rPr>
                <w:rFonts w:hint="eastAsia"/>
                <w:color w:val="auto"/>
                <w:lang w:eastAsia="zh-CN"/>
              </w:rPr>
              <w:t>生物</w:t>
            </w:r>
            <w:r>
              <w:rPr>
                <w:rFonts w:hint="eastAsia"/>
                <w:color w:val="auto"/>
              </w:rPr>
              <w:t>药</w:t>
            </w:r>
            <w:r>
              <w:rPr>
                <w:rFonts w:hint="eastAsia"/>
                <w:color w:val="auto"/>
                <w:lang w:eastAsia="zh-CN"/>
              </w:rPr>
              <w:t>物制</w:t>
            </w:r>
            <w:r>
              <w:rPr>
                <w:rFonts w:hint="eastAsia"/>
                <w:color w:val="auto"/>
              </w:rPr>
              <w:t>剂</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6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72</w:t>
            </w: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72</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textDirection w:val="tbRlV"/>
            <w:vAlign w:val="center"/>
          </w:tcPr>
          <w:p>
            <w:pPr>
              <w:widowControl/>
              <w:jc w:val="center"/>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制药设备安装与调试</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6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rPr>
              <w:t>　</w:t>
            </w:r>
            <w:r>
              <w:rPr>
                <w:rFonts w:hint="eastAsia" w:ascii="宋体" w:hAnsi="宋体" w:cs="宋体"/>
                <w:color w:val="auto"/>
                <w:kern w:val="0"/>
                <w:sz w:val="22"/>
                <w:szCs w:val="22"/>
                <w:lang w:val="en-US" w:eastAsia="zh-CN"/>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lang w:val="en-US" w:eastAsia="zh-CN"/>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eastAsia="zh-CN"/>
              </w:rPr>
              <w:t>生物</w:t>
            </w:r>
            <w:r>
              <w:rPr>
                <w:rFonts w:hint="eastAsia" w:ascii="宋体" w:hAnsi="宋体" w:cs="宋体"/>
                <w:color w:val="auto"/>
                <w:kern w:val="0"/>
                <w:sz w:val="22"/>
                <w:szCs w:val="22"/>
              </w:rPr>
              <w:t>制药工艺</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6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rPr>
              <w:t>　</w:t>
            </w:r>
            <w:r>
              <w:rPr>
                <w:rFonts w:hint="eastAsia" w:ascii="宋体" w:hAnsi="宋体" w:cs="宋体"/>
                <w:color w:val="auto"/>
                <w:kern w:val="0"/>
                <w:sz w:val="22"/>
                <w:szCs w:val="22"/>
                <w:lang w:val="en-US" w:eastAsia="zh-CN"/>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lang w:val="en-US" w:eastAsia="zh-CN"/>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10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eastAsia="zh-CN"/>
              </w:rPr>
            </w:pPr>
            <w:r>
              <w:rPr>
                <w:rFonts w:hint="eastAsia" w:ascii="宋体" w:hAnsi="宋体" w:cs="宋体"/>
                <w:color w:val="auto"/>
                <w:kern w:val="0"/>
                <w:sz w:val="22"/>
                <w:szCs w:val="22"/>
              </w:rPr>
              <w:t>药事管理</w:t>
            </w:r>
            <w:r>
              <w:rPr>
                <w:rFonts w:hint="eastAsia" w:ascii="宋体" w:hAnsi="宋体" w:cs="宋体"/>
                <w:color w:val="auto"/>
                <w:kern w:val="0"/>
                <w:sz w:val="22"/>
                <w:szCs w:val="22"/>
                <w:lang w:eastAsia="zh-CN"/>
              </w:rPr>
              <w:t>与法规</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eastAsia="zh-CN"/>
              </w:rPr>
            </w:pPr>
            <w:r>
              <w:rPr>
                <w:rFonts w:hint="eastAsia" w:ascii="宋体" w:hAnsi="宋体" w:cs="宋体"/>
                <w:color w:val="auto"/>
                <w:kern w:val="0"/>
                <w:sz w:val="22"/>
                <w:szCs w:val="22"/>
                <w:lang w:val="en-US" w:eastAsia="zh-CN"/>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6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18</w:t>
            </w: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eastAsiaTheme="minorEastAsia"/>
                <w:color w:val="auto"/>
                <w:lang w:val="en-US" w:eastAsia="zh-CN"/>
              </w:rPr>
            </w:pPr>
            <w:r>
              <w:rPr>
                <w:rFonts w:hint="eastAsia" w:ascii="宋体" w:hAnsi="宋体" w:cs="宋体"/>
                <w:color w:val="auto"/>
                <w:kern w:val="0"/>
                <w:sz w:val="22"/>
                <w:szCs w:val="22"/>
                <w:lang w:val="en-US" w:eastAsia="zh-CN"/>
              </w:rPr>
              <w:t>18</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11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eastAsia="zh-CN"/>
              </w:rPr>
            </w:pPr>
            <w:r>
              <w:rPr>
                <w:rFonts w:hint="eastAsia" w:ascii="宋体" w:hAnsi="宋体" w:cs="宋体"/>
                <w:color w:val="auto"/>
                <w:kern w:val="0"/>
                <w:sz w:val="22"/>
                <w:szCs w:val="22"/>
                <w:lang w:eastAsia="zh-CN"/>
              </w:rPr>
              <w:t>生物发酵技术</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4</w:t>
            </w:r>
            <w:r>
              <w:rPr>
                <w:rFonts w:hint="eastAsia" w:ascii="宋体" w:hAnsi="宋体" w:cs="宋体"/>
                <w:color w:val="auto"/>
                <w:kern w:val="0"/>
                <w:sz w:val="22"/>
                <w:szCs w:val="22"/>
              </w:rPr>
              <w:t>　</w:t>
            </w:r>
          </w:p>
        </w:tc>
        <w:tc>
          <w:tcPr>
            <w:tcW w:w="6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rPr>
              <w:t>　</w:t>
            </w:r>
            <w:r>
              <w:rPr>
                <w:rFonts w:hint="eastAsia" w:ascii="宋体" w:hAnsi="宋体" w:cs="宋体"/>
                <w:color w:val="auto"/>
                <w:kern w:val="0"/>
                <w:sz w:val="22"/>
                <w:szCs w:val="22"/>
                <w:lang w:val="en-US" w:eastAsia="zh-CN"/>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lang w:val="en-US" w:eastAsia="zh-CN"/>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12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制药企业安全生产与健康防护</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2</w:t>
            </w:r>
            <w:r>
              <w:rPr>
                <w:rFonts w:hint="eastAsia" w:ascii="宋体" w:hAnsi="宋体" w:cs="宋体"/>
                <w:color w:val="auto"/>
                <w:kern w:val="0"/>
                <w:sz w:val="22"/>
                <w:szCs w:val="22"/>
              </w:rPr>
              <w:t>　</w:t>
            </w:r>
          </w:p>
        </w:tc>
        <w:tc>
          <w:tcPr>
            <w:tcW w:w="6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18</w:t>
            </w: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eastAsiaTheme="minorEastAsia"/>
                <w:color w:val="auto"/>
                <w:lang w:val="en-US" w:eastAsia="zh-CN"/>
              </w:rPr>
            </w:pPr>
            <w:r>
              <w:rPr>
                <w:rFonts w:hint="eastAsia" w:ascii="宋体" w:hAnsi="宋体" w:cs="宋体"/>
                <w:color w:val="auto"/>
                <w:kern w:val="0"/>
                <w:sz w:val="22"/>
                <w:szCs w:val="22"/>
                <w:lang w:val="en-US" w:eastAsia="zh-CN"/>
              </w:rPr>
              <w:t>18</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职业沟通</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2</w:t>
            </w:r>
            <w:r>
              <w:rPr>
                <w:rFonts w:hint="eastAsia" w:ascii="宋体" w:hAnsi="宋体" w:cs="宋体"/>
                <w:color w:val="auto"/>
                <w:kern w:val="0"/>
                <w:sz w:val="22"/>
                <w:szCs w:val="22"/>
              </w:rPr>
              <w:t>　</w:t>
            </w:r>
          </w:p>
        </w:tc>
        <w:tc>
          <w:tcPr>
            <w:tcW w:w="6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18</w:t>
            </w: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eastAsiaTheme="minorEastAsia"/>
                <w:color w:val="auto"/>
                <w:lang w:val="en-US" w:eastAsia="zh-CN"/>
              </w:rPr>
            </w:pPr>
            <w:r>
              <w:rPr>
                <w:rFonts w:hint="eastAsia" w:ascii="宋体" w:hAnsi="宋体" w:cs="宋体"/>
                <w:color w:val="auto"/>
                <w:kern w:val="0"/>
                <w:sz w:val="22"/>
                <w:szCs w:val="22"/>
                <w:lang w:val="en-US" w:eastAsia="zh-CN"/>
              </w:rPr>
              <w:t>18</w:t>
            </w:r>
          </w:p>
        </w:tc>
      </w:tr>
      <w:tr>
        <w:tblPrEx>
          <w:tblCellMar>
            <w:top w:w="0" w:type="dxa"/>
            <w:left w:w="108" w:type="dxa"/>
            <w:bottom w:w="0" w:type="dxa"/>
            <w:right w:w="108" w:type="dxa"/>
          </w:tblCellMar>
        </w:tblPrEx>
        <w:trPr>
          <w:trHeight w:val="454" w:hRule="atLeast"/>
        </w:trPr>
        <w:tc>
          <w:tcPr>
            <w:tcW w:w="818" w:type="dxa"/>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eastAsia="zh-CN"/>
              </w:rPr>
            </w:pPr>
            <w:r>
              <w:rPr>
                <w:rFonts w:hint="eastAsia" w:ascii="宋体" w:hAnsi="宋体" w:cs="宋体"/>
                <w:color w:val="auto"/>
                <w:kern w:val="0"/>
                <w:sz w:val="22"/>
                <w:szCs w:val="22"/>
              </w:rPr>
              <w:t>1</w:t>
            </w:r>
            <w:r>
              <w:rPr>
                <w:rFonts w:hint="eastAsia" w:ascii="宋体" w:hAnsi="宋体" w:cs="宋体"/>
                <w:color w:val="auto"/>
                <w:kern w:val="0"/>
                <w:sz w:val="22"/>
                <w:szCs w:val="22"/>
                <w:lang w:val="en-US" w:eastAsia="zh-CN"/>
              </w:rPr>
              <w:t>4</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cs="宋体"/>
                <w:color w:val="auto"/>
                <w:kern w:val="0"/>
                <w:sz w:val="22"/>
                <w:szCs w:val="22"/>
              </w:rPr>
              <w:t>岗</w:t>
            </w:r>
            <w:r>
              <w:rPr>
                <w:rFonts w:hint="eastAsia" w:ascii="宋体" w:hAnsi="宋体" w:cs="宋体"/>
                <w:color w:val="auto"/>
                <w:kern w:val="0"/>
                <w:sz w:val="22"/>
                <w:szCs w:val="22"/>
                <w:lang w:val="en-US" w:eastAsia="zh-CN"/>
              </w:rPr>
              <w:t>位</w:t>
            </w:r>
            <w:r>
              <w:rPr>
                <w:rFonts w:hint="eastAsia" w:ascii="宋体" w:hAnsi="宋体" w:cs="宋体"/>
                <w:color w:val="auto"/>
                <w:kern w:val="0"/>
                <w:sz w:val="22"/>
                <w:szCs w:val="22"/>
              </w:rPr>
              <w:t>实习</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61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val="en-US" w:eastAsia="zh-CN"/>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720</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0</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720</w:t>
            </w:r>
          </w:p>
        </w:tc>
      </w:tr>
      <w:tr>
        <w:tblPrEx>
          <w:tblCellMar>
            <w:top w:w="0" w:type="dxa"/>
            <w:left w:w="108" w:type="dxa"/>
            <w:bottom w:w="0" w:type="dxa"/>
            <w:right w:w="108" w:type="dxa"/>
          </w:tblCellMar>
        </w:tblPrEx>
        <w:trPr>
          <w:trHeight w:val="454" w:hRule="atLeast"/>
        </w:trPr>
        <w:tc>
          <w:tcPr>
            <w:tcW w:w="3987" w:type="dxa"/>
            <w:gridSpan w:val="3"/>
            <w:tcBorders>
              <w:top w:val="single" w:color="auto" w:sz="4" w:space="0"/>
              <w:left w:val="single" w:color="auto" w:sz="4" w:space="0"/>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专业课小结</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eastAsia" w:ascii="宋体" w:hAnsi="宋体" w:cs="宋体" w:eastAsiaTheme="minorEastAsia"/>
                <w:color w:val="auto"/>
                <w:kern w:val="0"/>
                <w:sz w:val="22"/>
                <w:szCs w:val="22"/>
                <w:lang w:eastAsia="zh-CN"/>
              </w:rPr>
            </w:pPr>
            <w:r>
              <w:rPr>
                <w:rFonts w:hint="eastAsia" w:ascii="宋体" w:hAnsi="宋体" w:cs="宋体"/>
                <w:color w:val="auto"/>
                <w:kern w:val="0"/>
                <w:sz w:val="22"/>
                <w:szCs w:val="22"/>
                <w:lang w:val="en-US" w:eastAsia="zh-CN"/>
              </w:rPr>
              <w:t>8</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12</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rPr>
              <w:t>1</w:t>
            </w:r>
            <w:r>
              <w:rPr>
                <w:rFonts w:hint="eastAsia" w:ascii="宋体" w:hAnsi="宋体" w:cs="宋体"/>
                <w:color w:val="auto"/>
                <w:kern w:val="0"/>
                <w:sz w:val="22"/>
                <w:szCs w:val="22"/>
                <w:lang w:val="en-US" w:eastAsia="zh-CN"/>
              </w:rPr>
              <w:t>6</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rPr>
              <w:t>1</w:t>
            </w:r>
            <w:r>
              <w:rPr>
                <w:rFonts w:hint="eastAsia" w:ascii="宋体" w:hAnsi="宋体" w:cs="宋体"/>
                <w:color w:val="auto"/>
                <w:kern w:val="0"/>
                <w:sz w:val="22"/>
                <w:szCs w:val="22"/>
                <w:lang w:val="en-US" w:eastAsia="zh-CN"/>
              </w:rPr>
              <w:t>0</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8</w:t>
            </w:r>
            <w:r>
              <w:rPr>
                <w:rFonts w:hint="eastAsia" w:ascii="宋体" w:hAnsi="宋体" w:cs="宋体"/>
                <w:color w:val="auto"/>
                <w:kern w:val="0"/>
                <w:sz w:val="22"/>
                <w:szCs w:val="22"/>
              </w:rPr>
              <w:t>　</w:t>
            </w:r>
          </w:p>
        </w:tc>
        <w:tc>
          <w:tcPr>
            <w:tcW w:w="614"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22</w:t>
            </w:r>
          </w:p>
        </w:tc>
        <w:tc>
          <w:tcPr>
            <w:tcW w:w="1080"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1692</w:t>
            </w:r>
          </w:p>
        </w:tc>
        <w:tc>
          <w:tcPr>
            <w:tcW w:w="802"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486</w:t>
            </w: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1206</w:t>
            </w: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454" w:hRule="atLeast"/>
        </w:trPr>
        <w:tc>
          <w:tcPr>
            <w:tcW w:w="3987" w:type="dxa"/>
            <w:gridSpan w:val="3"/>
            <w:tcBorders>
              <w:top w:val="single" w:color="auto" w:sz="4" w:space="0"/>
              <w:left w:val="single" w:color="auto" w:sz="4" w:space="0"/>
              <w:bottom w:val="single" w:color="auto" w:sz="4" w:space="0"/>
              <w:right w:val="single" w:color="auto" w:sz="4" w:space="0"/>
            </w:tcBorders>
            <w:shd w:val="clear" w:color="000000" w:fill="A4A4A4" w:themeFill="background1" w:themeFillShade="A5"/>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合计</w:t>
            </w:r>
          </w:p>
        </w:tc>
        <w:tc>
          <w:tcPr>
            <w:tcW w:w="436"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rPr>
              <w:t>2</w:t>
            </w:r>
            <w:r>
              <w:rPr>
                <w:rFonts w:hint="eastAsia" w:ascii="宋体" w:hAnsi="宋体" w:cs="宋体"/>
                <w:color w:val="auto"/>
                <w:kern w:val="0"/>
                <w:sz w:val="22"/>
                <w:szCs w:val="22"/>
                <w:lang w:val="en-US" w:eastAsia="zh-CN"/>
              </w:rPr>
              <w:t>5</w:t>
            </w:r>
          </w:p>
        </w:tc>
        <w:tc>
          <w:tcPr>
            <w:tcW w:w="436"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rPr>
              <w:t>2</w:t>
            </w:r>
            <w:r>
              <w:rPr>
                <w:rFonts w:hint="eastAsia" w:ascii="宋体" w:hAnsi="宋体" w:cs="宋体"/>
                <w:color w:val="auto"/>
                <w:kern w:val="0"/>
                <w:sz w:val="22"/>
                <w:szCs w:val="22"/>
                <w:lang w:val="en-US" w:eastAsia="zh-CN"/>
              </w:rPr>
              <w:t>9</w:t>
            </w:r>
          </w:p>
        </w:tc>
        <w:tc>
          <w:tcPr>
            <w:tcW w:w="436"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32</w:t>
            </w:r>
          </w:p>
        </w:tc>
        <w:tc>
          <w:tcPr>
            <w:tcW w:w="436"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rPr>
              <w:t>2</w:t>
            </w:r>
            <w:r>
              <w:rPr>
                <w:rFonts w:hint="eastAsia" w:ascii="宋体" w:hAnsi="宋体" w:cs="宋体"/>
                <w:color w:val="auto"/>
                <w:kern w:val="0"/>
                <w:sz w:val="22"/>
                <w:szCs w:val="22"/>
                <w:lang w:val="en-US" w:eastAsia="zh-CN"/>
              </w:rPr>
              <w:t>6</w:t>
            </w:r>
          </w:p>
        </w:tc>
        <w:tc>
          <w:tcPr>
            <w:tcW w:w="436"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28</w:t>
            </w:r>
            <w:r>
              <w:rPr>
                <w:rFonts w:hint="eastAsia" w:ascii="宋体" w:hAnsi="宋体" w:cs="宋体"/>
                <w:color w:val="auto"/>
                <w:kern w:val="0"/>
                <w:sz w:val="22"/>
                <w:szCs w:val="22"/>
              </w:rPr>
              <w:t>　</w:t>
            </w:r>
          </w:p>
        </w:tc>
        <w:tc>
          <w:tcPr>
            <w:tcW w:w="614"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22</w:t>
            </w:r>
          </w:p>
        </w:tc>
        <w:tc>
          <w:tcPr>
            <w:tcW w:w="1080"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rPr>
              <w:t>3</w:t>
            </w:r>
            <w:r>
              <w:rPr>
                <w:rFonts w:hint="eastAsia" w:ascii="宋体" w:hAnsi="宋体" w:cs="宋体"/>
                <w:color w:val="auto"/>
                <w:kern w:val="0"/>
                <w:sz w:val="22"/>
                <w:szCs w:val="22"/>
                <w:lang w:val="en-US" w:eastAsia="zh-CN"/>
              </w:rPr>
              <w:t>509</w:t>
            </w:r>
          </w:p>
        </w:tc>
        <w:tc>
          <w:tcPr>
            <w:tcW w:w="802"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rPr>
              <w:t>1</w:t>
            </w:r>
            <w:r>
              <w:rPr>
                <w:rFonts w:hint="eastAsia" w:ascii="宋体" w:hAnsi="宋体" w:cs="宋体"/>
                <w:color w:val="auto"/>
                <w:kern w:val="0"/>
                <w:sz w:val="22"/>
                <w:szCs w:val="22"/>
                <w:lang w:val="en-US" w:eastAsia="zh-CN"/>
              </w:rPr>
              <w:t>851</w:t>
            </w:r>
          </w:p>
        </w:tc>
        <w:tc>
          <w:tcPr>
            <w:tcW w:w="844"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1658</w:t>
            </w:r>
            <w:r>
              <w:rPr>
                <w:rFonts w:hint="eastAsia" w:ascii="宋体" w:hAnsi="宋体" w:cs="宋体"/>
                <w:color w:val="auto"/>
                <w:kern w:val="0"/>
                <w:sz w:val="22"/>
                <w:szCs w:val="22"/>
              </w:rPr>
              <w:t>　</w:t>
            </w:r>
          </w:p>
        </w:tc>
      </w:tr>
    </w:tbl>
    <w:p>
      <w:pPr>
        <w:overflowPunct w:val="0"/>
        <w:adjustRightInd w:val="0"/>
        <w:spacing w:line="560" w:lineRule="exact"/>
        <w:ind w:firstLine="640" w:firstLineChars="200"/>
        <w:outlineLvl w:val="0"/>
        <w:rPr>
          <w:rFonts w:ascii="黑体" w:hAnsi="黑体" w:eastAsia="黑体"/>
          <w:color w:val="auto"/>
          <w:sz w:val="32"/>
          <w:szCs w:val="32"/>
        </w:rPr>
      </w:pPr>
      <w:r>
        <w:rPr>
          <w:rFonts w:hint="eastAsia" w:ascii="黑体" w:hAnsi="黑体" w:eastAsia="黑体"/>
          <w:color w:val="auto"/>
          <w:sz w:val="32"/>
          <w:szCs w:val="32"/>
        </w:rPr>
        <w:t>九、</w:t>
      </w:r>
      <w:r>
        <w:rPr>
          <w:rFonts w:ascii="黑体" w:hAnsi="黑体" w:eastAsia="黑体"/>
          <w:color w:val="auto"/>
          <w:sz w:val="32"/>
          <w:szCs w:val="32"/>
        </w:rPr>
        <w:t>师资队伍</w:t>
      </w:r>
    </w:p>
    <w:p>
      <w:pPr>
        <w:widowControl/>
        <w:shd w:val="clear" w:color="auto" w:fill="FFFFFF"/>
        <w:spacing w:line="560" w:lineRule="exact"/>
        <w:ind w:firstLine="645"/>
        <w:jc w:val="left"/>
        <w:rPr>
          <w:rFonts w:ascii="仿宋" w:hAnsi="仿宋" w:eastAsia="仿宋" w:cs="仿宋"/>
          <w:color w:val="auto"/>
          <w:sz w:val="32"/>
          <w:szCs w:val="32"/>
        </w:rPr>
      </w:pPr>
      <w:r>
        <w:rPr>
          <w:rFonts w:hint="eastAsia" w:ascii="仿宋" w:hAnsi="仿宋" w:eastAsia="仿宋" w:cs="仿宋"/>
          <w:color w:val="auto"/>
          <w:sz w:val="32"/>
          <w:szCs w:val="32"/>
          <w:lang w:eastAsia="zh-CN"/>
        </w:rPr>
        <w:t>制药</w:t>
      </w:r>
      <w:r>
        <w:rPr>
          <w:rFonts w:hint="eastAsia" w:ascii="仿宋" w:hAnsi="仿宋" w:eastAsia="仿宋" w:cs="仿宋"/>
          <w:color w:val="auto"/>
          <w:sz w:val="32"/>
          <w:szCs w:val="32"/>
        </w:rPr>
        <w:t>专业部现有专任教师</w:t>
      </w:r>
      <w:r>
        <w:rPr>
          <w:rFonts w:hint="eastAsia" w:ascii="仿宋" w:hAnsi="仿宋" w:eastAsia="仿宋" w:cs="仿宋"/>
          <w:color w:val="auto"/>
          <w:sz w:val="32"/>
          <w:szCs w:val="32"/>
          <w:lang w:val="en-US" w:eastAsia="zh-CN"/>
        </w:rPr>
        <w:t>56</w:t>
      </w:r>
      <w:r>
        <w:rPr>
          <w:rFonts w:hint="eastAsia" w:ascii="仿宋" w:hAnsi="仿宋" w:eastAsia="仿宋" w:cs="仿宋"/>
          <w:color w:val="auto"/>
          <w:sz w:val="32"/>
          <w:szCs w:val="32"/>
        </w:rPr>
        <w:t>名，其中河北省骨干教师1人、石家庄市学科名师</w:t>
      </w:r>
      <w:r>
        <w:rPr>
          <w:rFonts w:hint="eastAsia" w:ascii="仿宋" w:hAnsi="仿宋" w:eastAsia="仿宋" w:cs="仿宋"/>
          <w:color w:val="auto"/>
          <w:sz w:val="32"/>
          <w:szCs w:val="32"/>
          <w:lang w:val="en-US" w:eastAsia="zh-CN"/>
        </w:rPr>
        <w:t>3</w:t>
      </w:r>
      <w:bookmarkStart w:id="3" w:name="_GoBack"/>
      <w:bookmarkEnd w:id="3"/>
      <w:r>
        <w:rPr>
          <w:rFonts w:hint="eastAsia" w:ascii="仿宋" w:hAnsi="仿宋" w:eastAsia="仿宋" w:cs="仿宋"/>
          <w:color w:val="auto"/>
          <w:sz w:val="32"/>
          <w:szCs w:val="32"/>
        </w:rPr>
        <w:t>人、石家庄市骨干教7人、石家庄市优秀教师</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人。教师全部为本科以上学历，其中硕士占比</w:t>
      </w:r>
      <w:r>
        <w:rPr>
          <w:rFonts w:hint="eastAsia" w:ascii="仿宋" w:hAnsi="仿宋" w:eastAsia="仿宋" w:cs="仿宋"/>
          <w:color w:val="auto"/>
          <w:sz w:val="32"/>
          <w:szCs w:val="32"/>
          <w:lang w:val="en-US" w:eastAsia="zh-CN"/>
        </w:rPr>
        <w:t>25</w:t>
      </w:r>
      <w:r>
        <w:rPr>
          <w:rFonts w:hint="eastAsia" w:ascii="仿宋" w:hAnsi="仿宋" w:eastAsia="仿宋" w:cs="仿宋"/>
          <w:color w:val="auto"/>
          <w:sz w:val="32"/>
          <w:szCs w:val="32"/>
        </w:rPr>
        <w:t>%，专业课教师拥有</w:t>
      </w:r>
      <w:r>
        <w:rPr>
          <w:rFonts w:hint="eastAsia" w:ascii="仿宋" w:hAnsi="仿宋" w:eastAsia="仿宋" w:cs="仿宋"/>
          <w:color w:val="auto"/>
          <w:sz w:val="32"/>
          <w:szCs w:val="32"/>
          <w:lang w:eastAsia="zh-CN"/>
        </w:rPr>
        <w:t>执业药师</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药物检验工（高级）</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分析检验工（高级）</w:t>
      </w:r>
      <w:r>
        <w:rPr>
          <w:rFonts w:hint="eastAsia" w:ascii="仿宋" w:hAnsi="仿宋" w:eastAsia="仿宋" w:cs="仿宋"/>
          <w:color w:val="auto"/>
          <w:sz w:val="32"/>
          <w:szCs w:val="32"/>
        </w:rPr>
        <w:t>等职业资格证书及</w:t>
      </w:r>
      <w:r>
        <w:rPr>
          <w:rFonts w:hint="eastAsia" w:ascii="仿宋" w:hAnsi="仿宋" w:eastAsia="仿宋" w:cs="仿宋"/>
          <w:color w:val="auto"/>
          <w:sz w:val="32"/>
          <w:szCs w:val="32"/>
          <w:lang w:eastAsia="zh-CN"/>
        </w:rPr>
        <w:t>药物制剂生产</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药品购销</w:t>
      </w:r>
      <w:r>
        <w:rPr>
          <w:rFonts w:hint="eastAsia" w:ascii="仿宋" w:hAnsi="仿宋" w:eastAsia="仿宋" w:cs="仿宋"/>
          <w:color w:val="auto"/>
          <w:sz w:val="32"/>
          <w:szCs w:val="32"/>
        </w:rPr>
        <w:t>等“1+X”职业技能等级培训教师证书。</w:t>
      </w:r>
    </w:p>
    <w:p>
      <w:pPr>
        <w:widowControl/>
        <w:shd w:val="clear" w:color="auto" w:fill="FFFFFF"/>
        <w:spacing w:line="560" w:lineRule="exact"/>
        <w:ind w:firstLine="645"/>
        <w:jc w:val="left"/>
        <w:rPr>
          <w:rFonts w:ascii="仿宋" w:hAnsi="仿宋" w:eastAsia="仿宋" w:cs="仿宋"/>
          <w:color w:val="auto"/>
          <w:sz w:val="32"/>
          <w:szCs w:val="32"/>
        </w:rPr>
      </w:pPr>
      <w:r>
        <w:rPr>
          <w:rFonts w:hint="eastAsia" w:ascii="仿宋" w:hAnsi="仿宋" w:eastAsia="仿宋" w:cs="仿宋"/>
          <w:color w:val="auto"/>
          <w:sz w:val="32"/>
          <w:szCs w:val="32"/>
        </w:rPr>
        <w:t>该专业教师曾在全国中职学校信息化教学大赛、全国中职学校教师说课比赛、河北省职业院校信息化教学大赛、河北省中职学校教师技能大赛等活动中获奖，近三年指导学生参加多项全国、省市技能大赛，</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0余人次荣获技能大赛优秀辅导教师。</w:t>
      </w:r>
    </w:p>
    <w:p>
      <w:pPr>
        <w:overflowPunct w:val="0"/>
        <w:adjustRightInd w:val="0"/>
        <w:spacing w:line="560" w:lineRule="exact"/>
        <w:ind w:firstLine="645"/>
        <w:outlineLvl w:val="0"/>
        <w:rPr>
          <w:rFonts w:ascii="黑体" w:hAnsi="黑体" w:eastAsia="黑体"/>
          <w:b/>
          <w:color w:val="auto"/>
          <w:sz w:val="32"/>
          <w:szCs w:val="32"/>
        </w:rPr>
      </w:pPr>
      <w:r>
        <w:rPr>
          <w:rFonts w:hint="eastAsia" w:ascii="黑体" w:hAnsi="黑体" w:eastAsia="黑体"/>
          <w:b/>
          <w:color w:val="auto"/>
          <w:sz w:val="32"/>
          <w:szCs w:val="32"/>
        </w:rPr>
        <w:t>十、教学条件</w:t>
      </w:r>
    </w:p>
    <w:p>
      <w:pPr>
        <w:overflowPunct w:val="0"/>
        <w:adjustRightInd w:val="0"/>
        <w:spacing w:line="560" w:lineRule="exact"/>
        <w:ind w:firstLine="643" w:firstLineChars="200"/>
        <w:outlineLvl w:val="0"/>
        <w:rPr>
          <w:rFonts w:eastAsia="楷体_GB2312"/>
          <w:b/>
          <w:color w:val="auto"/>
          <w:sz w:val="32"/>
          <w:szCs w:val="32"/>
        </w:rPr>
      </w:pPr>
      <w:r>
        <w:rPr>
          <w:rFonts w:eastAsia="楷体_GB2312"/>
          <w:b/>
          <w:color w:val="auto"/>
          <w:sz w:val="32"/>
          <w:szCs w:val="32"/>
        </w:rPr>
        <w:t>（</w:t>
      </w:r>
      <w:r>
        <w:rPr>
          <w:rFonts w:hint="eastAsia" w:eastAsia="楷体_GB2312"/>
          <w:b/>
          <w:color w:val="auto"/>
          <w:sz w:val="32"/>
          <w:szCs w:val="32"/>
        </w:rPr>
        <w:t>一）</w:t>
      </w:r>
      <w:r>
        <w:rPr>
          <w:rFonts w:eastAsia="楷体_GB2312"/>
          <w:b/>
          <w:color w:val="auto"/>
          <w:sz w:val="32"/>
          <w:szCs w:val="32"/>
        </w:rPr>
        <w:t>教学设施</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专业建设紧跟</w:t>
      </w:r>
      <w:r>
        <w:rPr>
          <w:rFonts w:hint="eastAsia" w:ascii="仿宋" w:hAnsi="仿宋" w:eastAsia="仿宋" w:cs="仿宋"/>
          <w:color w:val="auto"/>
          <w:sz w:val="32"/>
          <w:szCs w:val="32"/>
          <w:lang w:eastAsia="zh-CN"/>
        </w:rPr>
        <w:t>医药发展趋势</w:t>
      </w:r>
      <w:r>
        <w:rPr>
          <w:rFonts w:hint="eastAsia" w:ascii="仿宋" w:hAnsi="仿宋" w:eastAsia="仿宋" w:cs="仿宋"/>
          <w:color w:val="auto"/>
          <w:sz w:val="32"/>
          <w:szCs w:val="32"/>
        </w:rPr>
        <w:t>，学校是</w:t>
      </w:r>
      <w:r>
        <w:rPr>
          <w:rFonts w:hint="eastAsia" w:ascii="仿宋" w:hAnsi="仿宋" w:eastAsia="仿宋" w:cs="仿宋"/>
          <w:color w:val="auto"/>
          <w:sz w:val="32"/>
          <w:szCs w:val="32"/>
          <w:lang w:eastAsia="zh-CN"/>
        </w:rPr>
        <w:t>石家庄四药有限公司、国药乐仁堂河北药业有限公司</w:t>
      </w:r>
      <w:r>
        <w:rPr>
          <w:rFonts w:hint="eastAsia" w:ascii="仿宋" w:hAnsi="仿宋" w:eastAsia="仿宋" w:cs="仿宋"/>
          <w:color w:val="auto"/>
          <w:sz w:val="32"/>
          <w:szCs w:val="32"/>
        </w:rPr>
        <w:t>合作院校、是石家庄四药有限公司、国药乐仁堂河北药业有限公司产教融合人才培养基地。本专业是教育部“1+X”</w:t>
      </w:r>
      <w:r>
        <w:rPr>
          <w:rFonts w:hint="eastAsia" w:ascii="仿宋" w:hAnsi="仿宋" w:eastAsia="仿宋" w:cs="仿宋"/>
          <w:color w:val="auto"/>
          <w:sz w:val="32"/>
          <w:szCs w:val="32"/>
          <w:lang w:eastAsia="zh-CN"/>
        </w:rPr>
        <w:t>药物制剂生产</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药品购销</w:t>
      </w:r>
      <w:r>
        <w:rPr>
          <w:rFonts w:hint="eastAsia" w:ascii="仿宋" w:hAnsi="仿宋" w:eastAsia="仿宋" w:cs="仿宋"/>
          <w:color w:val="auto"/>
          <w:sz w:val="32"/>
          <w:szCs w:val="32"/>
        </w:rPr>
        <w:t>职业技能等级证书试点专业和考点专业。建有</w:t>
      </w:r>
      <w:r>
        <w:rPr>
          <w:rFonts w:hint="eastAsia" w:ascii="仿宋" w:hAnsi="仿宋" w:eastAsia="仿宋" w:cs="仿宋"/>
          <w:color w:val="auto"/>
          <w:sz w:val="32"/>
          <w:szCs w:val="32"/>
          <w:lang w:eastAsia="zh-CN"/>
        </w:rPr>
        <w:t>制药基础设备</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化学基础、分析实验、生物制药</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药物制剂仿真、制药工艺仿真</w:t>
      </w:r>
      <w:r>
        <w:rPr>
          <w:rFonts w:hint="eastAsia" w:ascii="仿宋" w:hAnsi="仿宋" w:eastAsia="仿宋" w:cs="仿宋"/>
          <w:color w:val="auto"/>
          <w:sz w:val="32"/>
          <w:szCs w:val="32"/>
        </w:rPr>
        <w:t>等实训室，在实训基地、教师企业实践、学生实训实习等方面进行共建共享。</w:t>
      </w:r>
    </w:p>
    <w:p>
      <w:pPr>
        <w:overflowPunct w:val="0"/>
        <w:adjustRightInd w:val="0"/>
        <w:spacing w:line="560" w:lineRule="exact"/>
        <w:ind w:firstLine="643" w:firstLineChars="200"/>
        <w:outlineLvl w:val="0"/>
        <w:rPr>
          <w:rFonts w:eastAsia="楷体_GB2312"/>
          <w:b/>
          <w:color w:val="auto"/>
          <w:sz w:val="32"/>
          <w:szCs w:val="32"/>
        </w:rPr>
      </w:pPr>
      <w:r>
        <w:rPr>
          <w:rFonts w:eastAsia="楷体_GB2312"/>
          <w:b/>
          <w:color w:val="auto"/>
          <w:sz w:val="32"/>
          <w:szCs w:val="32"/>
        </w:rPr>
        <w:t>（</w:t>
      </w:r>
      <w:r>
        <w:rPr>
          <w:rFonts w:hint="eastAsia" w:eastAsia="楷体_GB2312"/>
          <w:b/>
          <w:color w:val="auto"/>
          <w:sz w:val="32"/>
          <w:szCs w:val="32"/>
        </w:rPr>
        <w:t>二</w:t>
      </w:r>
      <w:r>
        <w:rPr>
          <w:rFonts w:eastAsia="楷体_GB2312"/>
          <w:b/>
          <w:color w:val="auto"/>
          <w:sz w:val="32"/>
          <w:szCs w:val="32"/>
        </w:rPr>
        <w:t>）教学资源</w:t>
      </w:r>
    </w:p>
    <w:p>
      <w:pPr>
        <w:overflowPunct w:val="0"/>
        <w:adjustRightInd w:val="0"/>
        <w:spacing w:line="560" w:lineRule="exact"/>
        <w:ind w:firstLine="640" w:firstLineChars="200"/>
        <w:outlineLvl w:val="0"/>
        <w:rPr>
          <w:rFonts w:ascii="仿宋" w:hAnsi="仿宋" w:eastAsia="仿宋" w:cs="仿宋"/>
          <w:color w:val="auto"/>
          <w:sz w:val="32"/>
          <w:szCs w:val="32"/>
        </w:rPr>
      </w:pPr>
      <w:r>
        <w:rPr>
          <w:rFonts w:hint="eastAsia" w:ascii="仿宋" w:hAnsi="仿宋" w:eastAsia="仿宋" w:cs="仿宋"/>
          <w:color w:val="auto"/>
          <w:sz w:val="32"/>
          <w:szCs w:val="32"/>
        </w:rPr>
        <w:t>以《</w:t>
      </w:r>
      <w:r>
        <w:rPr>
          <w:rFonts w:hint="eastAsia" w:ascii="仿宋" w:hAnsi="仿宋" w:eastAsia="仿宋" w:cs="仿宋"/>
          <w:color w:val="auto"/>
          <w:sz w:val="32"/>
          <w:szCs w:val="32"/>
          <w:lang w:eastAsia="zh-CN"/>
        </w:rPr>
        <w:t>药用化学</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生物药物制剂技术</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生物制药工艺</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化工单元操作</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生物药物检测技术</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制药设备</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制药企业安全与防护</w:t>
      </w:r>
      <w:r>
        <w:rPr>
          <w:rFonts w:hint="eastAsia" w:ascii="仿宋" w:hAnsi="仿宋" w:eastAsia="仿宋" w:cs="仿宋"/>
          <w:color w:val="auto"/>
          <w:sz w:val="32"/>
          <w:szCs w:val="32"/>
        </w:rPr>
        <w:t>》等课程为核心，建立专业课程教学资源库，其中包含电子教案、电子教材、课件、教学视频、多媒体素材、习题库、试题库、案例库、在线测试等，为实现学生自主学习和相互交流提供优质的共享资源平台。</w:t>
      </w:r>
    </w:p>
    <w:p>
      <w:pPr>
        <w:overflowPunct w:val="0"/>
        <w:adjustRightInd w:val="0"/>
        <w:spacing w:line="560" w:lineRule="exact"/>
        <w:ind w:firstLine="643" w:firstLineChars="200"/>
        <w:outlineLvl w:val="0"/>
        <w:rPr>
          <w:rFonts w:eastAsia="楷体_GB2312"/>
          <w:b/>
          <w:color w:val="auto"/>
          <w:sz w:val="32"/>
          <w:szCs w:val="32"/>
        </w:rPr>
      </w:pPr>
      <w:r>
        <w:rPr>
          <w:rFonts w:eastAsia="楷体_GB2312"/>
          <w:b/>
          <w:color w:val="auto"/>
          <w:sz w:val="32"/>
          <w:szCs w:val="32"/>
        </w:rPr>
        <w:t>（</w:t>
      </w:r>
      <w:r>
        <w:rPr>
          <w:rFonts w:hint="eastAsia" w:eastAsia="楷体_GB2312"/>
          <w:b/>
          <w:color w:val="auto"/>
          <w:sz w:val="32"/>
          <w:szCs w:val="32"/>
        </w:rPr>
        <w:t>三</w:t>
      </w:r>
      <w:r>
        <w:rPr>
          <w:rFonts w:eastAsia="楷体_GB2312"/>
          <w:b/>
          <w:color w:val="auto"/>
          <w:sz w:val="32"/>
          <w:szCs w:val="32"/>
        </w:rPr>
        <w:t>）教学方法</w:t>
      </w:r>
    </w:p>
    <w:p>
      <w:pPr>
        <w:overflowPunct w:val="0"/>
        <w:adjustRightInd w:val="0"/>
        <w:spacing w:line="560" w:lineRule="exact"/>
        <w:ind w:firstLine="640" w:firstLineChars="200"/>
        <w:outlineLvl w:val="0"/>
        <w:rPr>
          <w:rFonts w:ascii="仿宋" w:hAnsi="仿宋" w:eastAsia="仿宋" w:cs="仿宋"/>
          <w:color w:val="auto"/>
          <w:sz w:val="32"/>
          <w:szCs w:val="32"/>
        </w:rPr>
      </w:pPr>
      <w:r>
        <w:rPr>
          <w:rFonts w:hint="eastAsia" w:ascii="仿宋" w:hAnsi="仿宋" w:eastAsia="仿宋" w:cs="仿宋"/>
          <w:color w:val="auto"/>
          <w:sz w:val="32"/>
          <w:szCs w:val="32"/>
        </w:rPr>
        <w:t>依据专业培养目标、课程要求、学生能力与教学资源，采取适当的教学方法，已达到预期的教学目标。</w:t>
      </w:r>
    </w:p>
    <w:p>
      <w:pPr>
        <w:overflowPunct w:val="0"/>
        <w:adjustRightInd w:val="0"/>
        <w:spacing w:line="560" w:lineRule="exact"/>
        <w:ind w:firstLine="640" w:firstLineChars="200"/>
        <w:outlineLvl w:val="0"/>
        <w:rPr>
          <w:rFonts w:ascii="仿宋" w:hAnsi="仿宋" w:eastAsia="仿宋" w:cs="仿宋"/>
          <w:color w:val="auto"/>
          <w:sz w:val="32"/>
          <w:szCs w:val="32"/>
        </w:rPr>
      </w:pPr>
      <w:r>
        <w:rPr>
          <w:rFonts w:hint="eastAsia" w:ascii="仿宋" w:hAnsi="仿宋" w:eastAsia="仿宋" w:cs="仿宋"/>
          <w:color w:val="auto"/>
          <w:sz w:val="32"/>
          <w:szCs w:val="32"/>
        </w:rPr>
        <w:t>公共基础课可以采取讲授式教学、启发式教学、问题探究式教学等方法。通过集体讲解、师生对话、小组讨论、案例分析等形式，调动学生的学习积极性，为专业课的学习以及再教育奠定基础。</w:t>
      </w:r>
    </w:p>
    <w:p>
      <w:pPr>
        <w:overflowPunct w:val="0"/>
        <w:adjustRightInd w:val="0"/>
        <w:spacing w:line="560" w:lineRule="exact"/>
        <w:ind w:firstLine="640" w:firstLineChars="200"/>
        <w:outlineLvl w:val="0"/>
        <w:rPr>
          <w:rFonts w:ascii="仿宋" w:hAnsi="仿宋" w:eastAsia="仿宋" w:cs="仿宋"/>
          <w:color w:val="auto"/>
          <w:sz w:val="32"/>
          <w:szCs w:val="32"/>
        </w:rPr>
      </w:pPr>
      <w:r>
        <w:rPr>
          <w:rFonts w:hint="eastAsia" w:ascii="仿宋" w:hAnsi="仿宋" w:eastAsia="仿宋" w:cs="仿宋"/>
          <w:color w:val="auto"/>
          <w:sz w:val="32"/>
          <w:szCs w:val="32"/>
        </w:rPr>
        <w:t>专业课可以采用项目教学、启发式教学、情景模拟教学、案例教学等方法，利用集体讲解、师生对话、案例分析、小组讨论等形式，应用教学软件等数字化教学资源，使学生更好地理解和掌握</w:t>
      </w:r>
      <w:r>
        <w:rPr>
          <w:rFonts w:hint="eastAsia" w:ascii="仿宋" w:hAnsi="仿宋" w:eastAsia="仿宋" w:cs="仿宋"/>
          <w:color w:val="auto"/>
          <w:sz w:val="32"/>
          <w:szCs w:val="32"/>
          <w:lang w:eastAsia="zh-CN"/>
        </w:rPr>
        <w:t>药物生产</w:t>
      </w:r>
      <w:r>
        <w:rPr>
          <w:rFonts w:hint="eastAsia" w:ascii="仿宋" w:hAnsi="仿宋" w:eastAsia="仿宋" w:cs="仿宋"/>
          <w:color w:val="auto"/>
          <w:sz w:val="32"/>
          <w:szCs w:val="32"/>
        </w:rPr>
        <w:t>的各项基本技能，为以后的学习和就业打好基础。</w:t>
      </w:r>
    </w:p>
    <w:p>
      <w:pPr>
        <w:overflowPunct w:val="0"/>
        <w:adjustRightInd w:val="0"/>
        <w:spacing w:line="560" w:lineRule="exact"/>
        <w:ind w:firstLine="643" w:firstLineChars="200"/>
        <w:outlineLvl w:val="0"/>
        <w:rPr>
          <w:rFonts w:eastAsia="楷体_GB2312"/>
          <w:b/>
          <w:color w:val="auto"/>
          <w:sz w:val="32"/>
          <w:szCs w:val="32"/>
        </w:rPr>
      </w:pPr>
      <w:r>
        <w:rPr>
          <w:rFonts w:eastAsia="楷体_GB2312"/>
          <w:b/>
          <w:color w:val="auto"/>
          <w:sz w:val="32"/>
          <w:szCs w:val="32"/>
        </w:rPr>
        <w:t>（</w:t>
      </w:r>
      <w:r>
        <w:rPr>
          <w:rFonts w:hint="eastAsia" w:eastAsia="楷体_GB2312"/>
          <w:b/>
          <w:color w:val="auto"/>
          <w:sz w:val="32"/>
          <w:szCs w:val="32"/>
        </w:rPr>
        <w:t>四</w:t>
      </w:r>
      <w:r>
        <w:rPr>
          <w:rFonts w:eastAsia="楷体_GB2312"/>
          <w:b/>
          <w:color w:val="auto"/>
          <w:sz w:val="32"/>
          <w:szCs w:val="32"/>
        </w:rPr>
        <w:t>）学习评价</w:t>
      </w:r>
    </w:p>
    <w:p>
      <w:pPr>
        <w:overflowPunct w:val="0"/>
        <w:adjustRightInd w:val="0"/>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本专业采用阶段过程性考核和综合考核相结合的多元化学生学习评价体系，坚持过程性评价与结果性评价相结合、主观评价与客观评价相结合。</w:t>
      </w:r>
    </w:p>
    <w:p>
      <w:pPr>
        <w:overflowPunct w:val="0"/>
        <w:adjustRightInd w:val="0"/>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理论教学学生学业综合考核评价包括期中成绩、期末成绩和平时成绩三部分，学生总评成绩=期中成绩（20%）+期末成绩（40%）+平时成绩（40%）。平时成绩包括课堂表现、活动参与、作业提交和考勤等多元评价方法。</w:t>
      </w:r>
    </w:p>
    <w:p>
      <w:pPr>
        <w:overflowPunct w:val="0"/>
        <w:adjustRightInd w:val="0"/>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学生技能考核以具体技能任务阶段报告为主，采用阶段性技能成果展示和综合考核技能成果展示等形式综合评价。</w:t>
      </w:r>
    </w:p>
    <w:p>
      <w:pPr>
        <w:overflowPunct w:val="0"/>
        <w:adjustRightInd w:val="0"/>
        <w:spacing w:line="560" w:lineRule="exact"/>
        <w:ind w:firstLine="643" w:firstLineChars="200"/>
        <w:outlineLvl w:val="0"/>
        <w:rPr>
          <w:rFonts w:eastAsia="楷体_GB2312"/>
          <w:b/>
          <w:color w:val="auto"/>
          <w:sz w:val="32"/>
          <w:szCs w:val="32"/>
        </w:rPr>
      </w:pPr>
      <w:r>
        <w:rPr>
          <w:rFonts w:eastAsia="楷体_GB2312"/>
          <w:b/>
          <w:color w:val="auto"/>
          <w:sz w:val="32"/>
          <w:szCs w:val="32"/>
        </w:rPr>
        <w:t>（</w:t>
      </w:r>
      <w:r>
        <w:rPr>
          <w:rFonts w:hint="eastAsia" w:eastAsia="楷体_GB2312"/>
          <w:b/>
          <w:color w:val="auto"/>
          <w:sz w:val="32"/>
          <w:szCs w:val="32"/>
        </w:rPr>
        <w:t>五</w:t>
      </w:r>
      <w:r>
        <w:rPr>
          <w:rFonts w:eastAsia="楷体_GB2312"/>
          <w:b/>
          <w:color w:val="auto"/>
          <w:sz w:val="32"/>
          <w:szCs w:val="32"/>
        </w:rPr>
        <w:t>）质量管理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与实际紧密联系，动态发展课程内容。及时掌握本地区经济发展及人才需求情况，本着适应与超前的原则，不断优化课程结构。并且要注意打破课程、教材、教学之间的等号，在教学中学校和教师要积极构建课程及内容。</w:t>
      </w:r>
    </w:p>
    <w:p>
      <w:pPr>
        <w:overflowPunct w:val="0"/>
        <w:adjustRightInd w:val="0"/>
        <w:spacing w:line="560" w:lineRule="exact"/>
        <w:ind w:firstLine="640" w:firstLineChars="200"/>
        <w:outlineLvl w:val="0"/>
        <w:rPr>
          <w:rFonts w:eastAsia="黑体"/>
          <w:color w:val="auto"/>
          <w:sz w:val="32"/>
          <w:szCs w:val="32"/>
        </w:rPr>
      </w:pPr>
      <w:r>
        <w:rPr>
          <w:rFonts w:hint="eastAsia" w:eastAsia="黑体"/>
          <w:color w:val="auto"/>
          <w:sz w:val="32"/>
          <w:szCs w:val="32"/>
        </w:rPr>
        <w:t>十一</w:t>
      </w:r>
      <w:r>
        <w:rPr>
          <w:rFonts w:eastAsia="黑体"/>
          <w:color w:val="auto"/>
          <w:sz w:val="32"/>
          <w:szCs w:val="32"/>
        </w:rPr>
        <w:t>、毕业要求</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1.在规定的学习时间段内，无留级、留校察看等不良记录，修满人才培养方案规定的学时学分，完成规定的教学活动。</w:t>
      </w:r>
    </w:p>
    <w:p>
      <w:pPr>
        <w:spacing w:line="560" w:lineRule="exact"/>
        <w:ind w:firstLine="645"/>
        <w:rPr>
          <w:rFonts w:ascii="仿宋" w:hAnsi="仿宋" w:eastAsia="仿宋" w:cs="仿宋"/>
          <w:color w:val="auto"/>
          <w:sz w:val="32"/>
          <w:szCs w:val="32"/>
        </w:rPr>
      </w:pPr>
      <w:r>
        <w:rPr>
          <w:rFonts w:hint="eastAsia" w:ascii="仿宋" w:hAnsi="仿宋" w:eastAsia="仿宋" w:cs="仿宋"/>
          <w:color w:val="auto"/>
          <w:sz w:val="32"/>
          <w:szCs w:val="32"/>
        </w:rPr>
        <w:t>2.具有人文社会素养、社会责任感，能够在实践中理解并遵守职业道德和规范，履行责任。</w:t>
      </w:r>
    </w:p>
    <w:p>
      <w:pPr>
        <w:spacing w:line="560" w:lineRule="exact"/>
        <w:ind w:firstLine="645"/>
        <w:rPr>
          <w:color w:val="auto"/>
          <w:sz w:val="32"/>
          <w:szCs w:val="32"/>
        </w:rPr>
      </w:pPr>
      <w:r>
        <w:rPr>
          <w:rFonts w:hint="eastAsia" w:ascii="仿宋" w:hAnsi="仿宋" w:eastAsia="仿宋" w:cs="仿宋"/>
          <w:color w:val="auto"/>
          <w:sz w:val="32"/>
          <w:szCs w:val="32"/>
        </w:rPr>
        <w:t>3.能够在多学科背景下的团队中承担个体、团体成员以及负责人的角色。</w:t>
      </w:r>
    </w:p>
    <w:sectPr>
      <w:footerReference r:id="rId3" w:type="default"/>
      <w:pgSz w:w="11906" w:h="16838"/>
      <w:pgMar w:top="2098" w:right="1587" w:bottom="141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5B0002-4B02-4911-A9A8-C960A9C1479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C91F5F09-B413-47FF-888D-480D8856D2C5}"/>
  </w:font>
  <w:font w:name="方正仿宋简体">
    <w:altName w:val="微软雅黑"/>
    <w:panose1 w:val="00000000000000000000"/>
    <w:charset w:val="86"/>
    <w:family w:val="auto"/>
    <w:pitch w:val="default"/>
    <w:sig w:usb0="00000000" w:usb1="00000000" w:usb2="00000010" w:usb3="00000000" w:csb0="00040000" w:csb1="00000000"/>
    <w:embedRegular r:id="rId3" w:fontKey="{E3137A8E-F7D0-4DEB-A14D-FB602AD801CC}"/>
  </w:font>
  <w:font w:name="仿宋">
    <w:panose1 w:val="02010609060101010101"/>
    <w:charset w:val="86"/>
    <w:family w:val="modern"/>
    <w:pitch w:val="default"/>
    <w:sig w:usb0="800002BF" w:usb1="38CF7CFA" w:usb2="00000016" w:usb3="00000000" w:csb0="00040001" w:csb1="00000000"/>
    <w:embedRegular r:id="rId4" w:fontKey="{806054E2-6B62-4F2E-9CB9-85DF1252895E}"/>
  </w:font>
  <w:font w:name="楷体_GB2312">
    <w:altName w:val="楷体"/>
    <w:panose1 w:val="00000000000000000000"/>
    <w:charset w:val="86"/>
    <w:family w:val="modern"/>
    <w:pitch w:val="default"/>
    <w:sig w:usb0="00000000" w:usb1="00000000" w:usb2="00000000" w:usb3="00000000" w:csb0="00040000" w:csb1="00000000"/>
    <w:embedRegular r:id="rId5" w:fontKey="{7F298321-9CCC-4C97-B08F-23BB796A5F48}"/>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yNDk4YzkyMDkzZTIxZTI2ODY2Y2ViMjViZTg1N2IifQ=="/>
  </w:docVars>
  <w:rsids>
    <w:rsidRoot w:val="51750383"/>
    <w:rsid w:val="00003A34"/>
    <w:rsid w:val="00011826"/>
    <w:rsid w:val="00026F19"/>
    <w:rsid w:val="00066BB8"/>
    <w:rsid w:val="000742FA"/>
    <w:rsid w:val="000B3924"/>
    <w:rsid w:val="000B4B76"/>
    <w:rsid w:val="000D2B95"/>
    <w:rsid w:val="00104AA0"/>
    <w:rsid w:val="00194B1A"/>
    <w:rsid w:val="001A413D"/>
    <w:rsid w:val="001D696F"/>
    <w:rsid w:val="001F08A7"/>
    <w:rsid w:val="00237976"/>
    <w:rsid w:val="002949F6"/>
    <w:rsid w:val="002F0298"/>
    <w:rsid w:val="003A77EA"/>
    <w:rsid w:val="003B59B8"/>
    <w:rsid w:val="003E64C1"/>
    <w:rsid w:val="00492225"/>
    <w:rsid w:val="00495050"/>
    <w:rsid w:val="00510095"/>
    <w:rsid w:val="0052677C"/>
    <w:rsid w:val="00546070"/>
    <w:rsid w:val="005504B6"/>
    <w:rsid w:val="00552D7B"/>
    <w:rsid w:val="005E322F"/>
    <w:rsid w:val="005F69F6"/>
    <w:rsid w:val="00653356"/>
    <w:rsid w:val="00663D73"/>
    <w:rsid w:val="00677324"/>
    <w:rsid w:val="006B6ED5"/>
    <w:rsid w:val="006D011E"/>
    <w:rsid w:val="007708A3"/>
    <w:rsid w:val="007C0136"/>
    <w:rsid w:val="007D49BC"/>
    <w:rsid w:val="007D4A49"/>
    <w:rsid w:val="007E3E5C"/>
    <w:rsid w:val="0080266F"/>
    <w:rsid w:val="008A7DCE"/>
    <w:rsid w:val="008B7DFF"/>
    <w:rsid w:val="009C3240"/>
    <w:rsid w:val="009C5A44"/>
    <w:rsid w:val="009E4660"/>
    <w:rsid w:val="00A42A92"/>
    <w:rsid w:val="00A9617C"/>
    <w:rsid w:val="00A97EFB"/>
    <w:rsid w:val="00AF16D0"/>
    <w:rsid w:val="00AF78D2"/>
    <w:rsid w:val="00B133C7"/>
    <w:rsid w:val="00B135DB"/>
    <w:rsid w:val="00B24D9C"/>
    <w:rsid w:val="00B34E44"/>
    <w:rsid w:val="00B603EB"/>
    <w:rsid w:val="00BF555D"/>
    <w:rsid w:val="00C25083"/>
    <w:rsid w:val="00D1447D"/>
    <w:rsid w:val="00D3176B"/>
    <w:rsid w:val="00D65C6D"/>
    <w:rsid w:val="00DA3143"/>
    <w:rsid w:val="00DC5F1E"/>
    <w:rsid w:val="00DE1AEE"/>
    <w:rsid w:val="00DE24C0"/>
    <w:rsid w:val="00E013DD"/>
    <w:rsid w:val="00E05B64"/>
    <w:rsid w:val="00E060F0"/>
    <w:rsid w:val="00E07303"/>
    <w:rsid w:val="00E7466B"/>
    <w:rsid w:val="00E85193"/>
    <w:rsid w:val="00E94766"/>
    <w:rsid w:val="00EF292A"/>
    <w:rsid w:val="00F41E07"/>
    <w:rsid w:val="00FA0177"/>
    <w:rsid w:val="00FE47EA"/>
    <w:rsid w:val="010B065A"/>
    <w:rsid w:val="027A1FFF"/>
    <w:rsid w:val="028311D2"/>
    <w:rsid w:val="0295670A"/>
    <w:rsid w:val="02AD2E45"/>
    <w:rsid w:val="05F310A8"/>
    <w:rsid w:val="061B33AB"/>
    <w:rsid w:val="079E52B1"/>
    <w:rsid w:val="07A2624F"/>
    <w:rsid w:val="07C83E1B"/>
    <w:rsid w:val="085B1D6F"/>
    <w:rsid w:val="0AC86ED2"/>
    <w:rsid w:val="0ADE6DDF"/>
    <w:rsid w:val="0B81389B"/>
    <w:rsid w:val="0CA91A44"/>
    <w:rsid w:val="0D764D13"/>
    <w:rsid w:val="1003797D"/>
    <w:rsid w:val="106F72F4"/>
    <w:rsid w:val="12B653C4"/>
    <w:rsid w:val="12CC5617"/>
    <w:rsid w:val="130608A8"/>
    <w:rsid w:val="130B2F3B"/>
    <w:rsid w:val="135348E6"/>
    <w:rsid w:val="135741CF"/>
    <w:rsid w:val="150A124F"/>
    <w:rsid w:val="15694F24"/>
    <w:rsid w:val="15876BC1"/>
    <w:rsid w:val="18D800D0"/>
    <w:rsid w:val="18FA7505"/>
    <w:rsid w:val="19826FA5"/>
    <w:rsid w:val="1BAB226E"/>
    <w:rsid w:val="1E940449"/>
    <w:rsid w:val="1EAC32F3"/>
    <w:rsid w:val="1F276D8B"/>
    <w:rsid w:val="20E770DE"/>
    <w:rsid w:val="21D54CB5"/>
    <w:rsid w:val="2280002D"/>
    <w:rsid w:val="23FB206D"/>
    <w:rsid w:val="24A205A0"/>
    <w:rsid w:val="25031B27"/>
    <w:rsid w:val="25511CA7"/>
    <w:rsid w:val="266411F5"/>
    <w:rsid w:val="28100720"/>
    <w:rsid w:val="28276604"/>
    <w:rsid w:val="2A0C65CE"/>
    <w:rsid w:val="2A4224D3"/>
    <w:rsid w:val="2AED047E"/>
    <w:rsid w:val="2CF43071"/>
    <w:rsid w:val="2D0411AD"/>
    <w:rsid w:val="2FF00BFE"/>
    <w:rsid w:val="2FF12B49"/>
    <w:rsid w:val="30BC7DFE"/>
    <w:rsid w:val="30C22315"/>
    <w:rsid w:val="30D715B9"/>
    <w:rsid w:val="317374FD"/>
    <w:rsid w:val="31B94279"/>
    <w:rsid w:val="32C57CA9"/>
    <w:rsid w:val="32E50A6F"/>
    <w:rsid w:val="33B064E7"/>
    <w:rsid w:val="33E749DF"/>
    <w:rsid w:val="361247C9"/>
    <w:rsid w:val="366854D4"/>
    <w:rsid w:val="36A55DE0"/>
    <w:rsid w:val="373F08BA"/>
    <w:rsid w:val="39237490"/>
    <w:rsid w:val="392A7838"/>
    <w:rsid w:val="3B041C33"/>
    <w:rsid w:val="3B096234"/>
    <w:rsid w:val="3B982D49"/>
    <w:rsid w:val="405A694A"/>
    <w:rsid w:val="412474C4"/>
    <w:rsid w:val="433D186A"/>
    <w:rsid w:val="43AC61CD"/>
    <w:rsid w:val="44AF4753"/>
    <w:rsid w:val="44D679E6"/>
    <w:rsid w:val="44F03CA1"/>
    <w:rsid w:val="4666059F"/>
    <w:rsid w:val="470B07EE"/>
    <w:rsid w:val="474A052B"/>
    <w:rsid w:val="48111D26"/>
    <w:rsid w:val="48897310"/>
    <w:rsid w:val="48DE7214"/>
    <w:rsid w:val="4938307A"/>
    <w:rsid w:val="4AC52226"/>
    <w:rsid w:val="4C5079A7"/>
    <w:rsid w:val="4EB716BA"/>
    <w:rsid w:val="4FDF3672"/>
    <w:rsid w:val="507C775A"/>
    <w:rsid w:val="51403A91"/>
    <w:rsid w:val="51750383"/>
    <w:rsid w:val="51AA35AD"/>
    <w:rsid w:val="538F3485"/>
    <w:rsid w:val="55BC1931"/>
    <w:rsid w:val="56642E02"/>
    <w:rsid w:val="58A77ADB"/>
    <w:rsid w:val="59AD70AF"/>
    <w:rsid w:val="5BC33FA7"/>
    <w:rsid w:val="5CBB5D2F"/>
    <w:rsid w:val="5CE00143"/>
    <w:rsid w:val="5E6F69C2"/>
    <w:rsid w:val="5F5905F2"/>
    <w:rsid w:val="5FD84FC4"/>
    <w:rsid w:val="602D7CBC"/>
    <w:rsid w:val="624B3AF6"/>
    <w:rsid w:val="6280757E"/>
    <w:rsid w:val="62AF0893"/>
    <w:rsid w:val="637104D2"/>
    <w:rsid w:val="644301A3"/>
    <w:rsid w:val="64430959"/>
    <w:rsid w:val="65855C7B"/>
    <w:rsid w:val="670E4F40"/>
    <w:rsid w:val="6BA25B26"/>
    <w:rsid w:val="6E136DBE"/>
    <w:rsid w:val="6FD213F0"/>
    <w:rsid w:val="70105BD0"/>
    <w:rsid w:val="70357077"/>
    <w:rsid w:val="70EB50D8"/>
    <w:rsid w:val="725D4B26"/>
    <w:rsid w:val="73025D8D"/>
    <w:rsid w:val="74015467"/>
    <w:rsid w:val="7569122D"/>
    <w:rsid w:val="76BA3D16"/>
    <w:rsid w:val="782D4739"/>
    <w:rsid w:val="7A132E52"/>
    <w:rsid w:val="7C8C2CA7"/>
    <w:rsid w:val="7E2554F5"/>
    <w:rsid w:val="7FD64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Emphasis"/>
    <w:basedOn w:val="8"/>
    <w:qFormat/>
    <w:uiPriority w:val="20"/>
    <w:rPr>
      <w:i/>
      <w:iCs/>
    </w:rPr>
  </w:style>
  <w:style w:type="character" w:styleId="11">
    <w:name w:val="Hyperlink"/>
    <w:basedOn w:val="8"/>
    <w:qFormat/>
    <w:uiPriority w:val="0"/>
    <w:rPr>
      <w:color w:val="0000FF"/>
      <w:u w:val="single"/>
    </w:rPr>
  </w:style>
  <w:style w:type="paragraph" w:customStyle="1" w:styleId="12">
    <w:name w:val="中等深浅网格 1 - 着色 21"/>
    <w:basedOn w:val="1"/>
    <w:qFormat/>
    <w:uiPriority w:val="0"/>
    <w:pPr>
      <w:spacing w:line="360" w:lineRule="auto"/>
      <w:ind w:firstLine="420" w:firstLineChars="200"/>
    </w:pPr>
    <w:rPr>
      <w:rFonts w:ascii="Calibri" w:hAnsi="Calibri" w:eastAsia="宋体"/>
    </w:rPr>
  </w:style>
  <w:style w:type="paragraph" w:styleId="13">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8F5F3B-C0B9-4856-910A-947A3A644F2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9625</Words>
  <Characters>9903</Characters>
  <Lines>64</Lines>
  <Paragraphs>18</Paragraphs>
  <TotalTime>29</TotalTime>
  <ScaleCrop>false</ScaleCrop>
  <LinksUpToDate>false</LinksUpToDate>
  <CharactersWithSpaces>10152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2022-10-13T07:41:00Z</dcterms:created>
  <dc:creator>Administrator</dc:creator>
  <cp:lastModifiedBy>cjsm</cp:lastModifiedBy>
  <cp:lastPrinted>2019-07-08T06:10:00Z</cp:lastPrinted>
  <dcterms:modified xsi:type="dcterms:W3CDTF">2023-08-23T23:49:02Z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2846E8B5D75A46D985D9A9DCAA5C7D53</vt:lpwstr>
  </property>
</Properties>
</file>