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Toc11597"/>
      <w:bookmarkStart w:id="1" w:name="_Toc21624"/>
      <w:bookmarkStart w:id="2" w:name="_Toc398"/>
      <w:bookmarkStart w:id="3" w:name="_Toc13783"/>
      <w:bookmarkStart w:id="4" w:name="_Toc10769"/>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石家庄财经商贸学校</w:t>
      </w:r>
    </w:p>
    <w:p>
      <w:pPr>
        <w:spacing w:after="156" w:afterLines="50" w:line="560" w:lineRule="exact"/>
        <w:ind w:firstLine="880" w:firstLineChars="200"/>
        <w:jc w:val="center"/>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23级天津春考班</w:t>
      </w:r>
    </w:p>
    <w:p>
      <w:pPr>
        <w:spacing w:after="156" w:afterLines="50" w:line="560" w:lineRule="exact"/>
        <w:ind w:firstLine="880" w:firstLineChars="200"/>
        <w:jc w:val="center"/>
        <w:outlineLvl w:val="0"/>
        <w:rPr>
          <w:rFonts w:hint="eastAsia" w:ascii="黑体" w:hAnsi="黑体" w:eastAsia="黑体" w:cs="黑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计算机网络技术</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专业人才培养方案</w:t>
      </w:r>
      <w:bookmarkEnd w:id="0"/>
      <w:bookmarkEnd w:id="1"/>
      <w:bookmarkEnd w:id="2"/>
      <w:bookmarkEnd w:id="3"/>
      <w:bookmarkEnd w:id="4"/>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 w:name="_Toc21600"/>
      <w:bookmarkStart w:id="6" w:name="_Toc18664"/>
      <w:r>
        <w:rPr>
          <w:rFonts w:hint="eastAsia" w:ascii="黑体" w:hAnsi="黑体" w:eastAsia="黑体" w:cs="黑体"/>
          <w:color w:val="000000" w:themeColor="text1"/>
          <w:sz w:val="32"/>
          <w:szCs w:val="32"/>
          <w14:textFill>
            <w14:solidFill>
              <w14:schemeClr w14:val="tx1"/>
            </w14:solidFill>
          </w14:textFill>
        </w:rPr>
        <w:t>一、专业名称及代码</w:t>
      </w:r>
      <w:bookmarkEnd w:id="5"/>
      <w:bookmarkEnd w:id="6"/>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专业名称：</w:t>
      </w:r>
      <w:r>
        <w:rPr>
          <w:rFonts w:hint="eastAsia" w:ascii="仿宋" w:hAnsi="仿宋" w:eastAsia="仿宋" w:cs="仿宋"/>
          <w:bCs/>
          <w:color w:val="000000" w:themeColor="text1"/>
          <w:sz w:val="32"/>
          <w:szCs w:val="32"/>
          <w:lang w:val="en-US" w:eastAsia="zh-CN"/>
          <w14:textFill>
            <w14:solidFill>
              <w14:schemeClr w14:val="tx1"/>
            </w14:solidFill>
          </w14:textFill>
        </w:rPr>
        <w:t>计算机网络技术</w:t>
      </w:r>
    </w:p>
    <w:p>
      <w:pPr>
        <w:keepNext w:val="0"/>
        <w:keepLines w:val="0"/>
        <w:widowControl/>
        <w:suppressLineNumbers w:val="0"/>
        <w:ind w:firstLine="640" w:firstLineChars="200"/>
        <w:jc w:val="lef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专业代码：</w:t>
      </w:r>
      <w:r>
        <w:rPr>
          <w:rFonts w:hint="default" w:ascii="仿宋" w:hAnsi="仿宋" w:eastAsia="仿宋" w:cs="仿宋"/>
          <w:bCs/>
          <w:color w:val="000000" w:themeColor="text1"/>
          <w:sz w:val="32"/>
          <w:szCs w:val="32"/>
          <w:lang w:val="en-US" w:eastAsia="zh-CN"/>
          <w14:textFill>
            <w14:solidFill>
              <w14:schemeClr w14:val="tx1"/>
            </w14:solidFill>
          </w14:textFill>
        </w:rPr>
        <w:t>710202</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7" w:name="_Toc30546"/>
      <w:bookmarkStart w:id="8" w:name="_Toc9277"/>
      <w:r>
        <w:rPr>
          <w:rFonts w:hint="eastAsia" w:ascii="黑体" w:hAnsi="黑体" w:eastAsia="黑体" w:cs="黑体"/>
          <w:color w:val="000000" w:themeColor="text1"/>
          <w:sz w:val="32"/>
          <w:szCs w:val="32"/>
          <w14:textFill>
            <w14:solidFill>
              <w14:schemeClr w14:val="tx1"/>
            </w14:solidFill>
          </w14:textFill>
        </w:rPr>
        <w:t>二、入学要求</w:t>
      </w:r>
      <w:bookmarkEnd w:id="7"/>
      <w:bookmarkEnd w:id="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本专业招收</w:t>
      </w:r>
      <w:r>
        <w:rPr>
          <w:rFonts w:hint="eastAsia" w:ascii="仿宋" w:hAnsi="仿宋" w:eastAsia="仿宋" w:cs="仿宋"/>
          <w:color w:val="000000" w:themeColor="text1"/>
          <w:sz w:val="32"/>
          <w:szCs w:val="32"/>
          <w14:textFill>
            <w14:solidFill>
              <w14:schemeClr w14:val="tx1"/>
            </w14:solidFill>
          </w14:textFill>
        </w:rPr>
        <w:t>初中毕业生或具有同等学力者</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color w:val="000000" w:themeColor="text1"/>
          <w:sz w:val="32"/>
          <w:szCs w:val="32"/>
          <w14:textFill>
            <w14:solidFill>
              <w14:schemeClr w14:val="tx1"/>
            </w14:solidFill>
          </w14:textFill>
        </w:rPr>
      </w:pPr>
      <w:bookmarkStart w:id="9" w:name="_Toc20511"/>
      <w:bookmarkStart w:id="10" w:name="_Toc31958"/>
      <w:r>
        <w:rPr>
          <w:rFonts w:hint="eastAsia" w:ascii="黑体" w:hAnsi="黑体" w:eastAsia="黑体" w:cs="黑体"/>
          <w:color w:val="000000" w:themeColor="text1"/>
          <w:sz w:val="32"/>
          <w:szCs w:val="32"/>
          <w14:textFill>
            <w14:solidFill>
              <w14:schemeClr w14:val="tx1"/>
            </w14:solidFill>
          </w14:textFill>
        </w:rPr>
        <w:t>三、修业年限</w:t>
      </w:r>
      <w:bookmarkEnd w:id="9"/>
      <w:bookmarkEnd w:id="10"/>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kern w:val="0"/>
          <w:sz w:val="31"/>
          <w:szCs w:val="31"/>
          <w:lang w:val="en-US" w:eastAsia="zh-CN" w:bidi="ar"/>
        </w:rPr>
        <w:t>2 年（石家庄财经商贸学校）+1 年（天津第一商业学校）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000000" w:themeColor="text1"/>
          <w:sz w:val="32"/>
          <w:szCs w:val="32"/>
          <w14:textFill>
            <w14:solidFill>
              <w14:schemeClr w14:val="tx1"/>
            </w14:solidFill>
          </w14:textFill>
        </w:rPr>
      </w:pPr>
      <w:bookmarkStart w:id="11" w:name="_Toc23741"/>
      <w:bookmarkStart w:id="12" w:name="_Toc15542"/>
      <w:r>
        <w:rPr>
          <w:rFonts w:hint="eastAsia" w:ascii="黑体" w:hAnsi="黑体" w:eastAsia="黑体" w:cs="黑体"/>
          <w:color w:val="000000" w:themeColor="text1"/>
          <w:sz w:val="32"/>
          <w:szCs w:val="32"/>
          <w14:textFill>
            <w14:solidFill>
              <w14:schemeClr w14:val="tx1"/>
            </w14:solidFill>
          </w14:textFill>
        </w:rPr>
        <w:t>四、职业面向</w:t>
      </w:r>
      <w:bookmarkEnd w:id="11"/>
      <w:bookmarkEnd w:id="12"/>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9"/>
        <w:gridCol w:w="7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所属专业大类</w:t>
            </w:r>
          </w:p>
        </w:tc>
        <w:tc>
          <w:tcPr>
            <w:tcW w:w="7142" w:type="dxa"/>
            <w:vAlign w:val="center"/>
          </w:tcPr>
          <w:p>
            <w:pPr>
              <w:keepNext w:val="0"/>
              <w:keepLines w:val="0"/>
              <w:pageBreakBefore w:val="0"/>
              <w:kinsoku/>
              <w:wordWrap/>
              <w:overflowPunct/>
              <w:topLinePunct w:val="0"/>
              <w:autoSpaceDE/>
              <w:autoSpaceDN/>
              <w:bidi w:val="0"/>
              <w:adjustRightInd/>
              <w:spacing w:line="400" w:lineRule="exact"/>
              <w:jc w:val="both"/>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default" w:ascii="仿宋" w:hAnsi="仿宋" w:eastAsia="仿宋" w:cs="仿宋"/>
                <w:bCs/>
                <w:color w:val="000000" w:themeColor="text1"/>
                <w:kern w:val="0"/>
                <w:sz w:val="24"/>
                <w:szCs w:val="24"/>
                <w:lang w:val="en-US" w:eastAsia="zh-CN"/>
                <w14:textFill>
                  <w14:solidFill>
                    <w14:schemeClr w14:val="tx1"/>
                  </w14:solidFill>
                </w14:textFill>
              </w:rPr>
              <w:t xml:space="preserve">71 </w:t>
            </w:r>
            <w:r>
              <w:rPr>
                <w:rFonts w:hint="eastAsia" w:ascii="仿宋" w:hAnsi="仿宋" w:eastAsia="仿宋" w:cs="仿宋"/>
                <w:bCs/>
                <w:color w:val="000000" w:themeColor="text1"/>
                <w:kern w:val="0"/>
                <w:sz w:val="24"/>
                <w:szCs w:val="24"/>
                <w:lang w:val="en-US" w:eastAsia="zh-CN"/>
                <w14:textFill>
                  <w14:solidFill>
                    <w14:schemeClr w14:val="tx1"/>
                  </w14:solidFill>
                </w14:textFill>
              </w:rPr>
              <w:t>电子与信息大类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所属专业类</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7102计算机</w:t>
            </w:r>
            <w:r>
              <w:rPr>
                <w:rFonts w:hint="eastAsia" w:ascii="仿宋" w:hAnsi="仿宋" w:eastAsia="仿宋" w:cs="仿宋"/>
                <w:bCs/>
                <w:color w:val="000000" w:themeColor="text1"/>
                <w:kern w:val="0"/>
                <w:sz w:val="24"/>
                <w:szCs w:val="24"/>
                <w14:textFill>
                  <w14:solidFill>
                    <w14:schemeClr w14:val="tx1"/>
                  </w14:solidFill>
                </w14:textFill>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主要</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类别</w:t>
            </w:r>
          </w:p>
        </w:tc>
        <w:tc>
          <w:tcPr>
            <w:tcW w:w="7142" w:type="dxa"/>
            <w:vAlign w:val="center"/>
          </w:tcPr>
          <w:p>
            <w:pPr>
              <w:keepNext w:val="0"/>
              <w:keepLines w:val="0"/>
              <w:widowControl/>
              <w:suppressLineNumbers w:val="0"/>
              <w:jc w:val="left"/>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计算机网络工程技术人员（2-02-10-04）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主要岗位（群）</w:t>
            </w:r>
          </w:p>
        </w:tc>
        <w:tc>
          <w:tcPr>
            <w:tcW w:w="7142" w:type="dxa"/>
            <w:vAlign w:val="center"/>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仿宋" w:hAnsi="仿宋" w:eastAsia="仿宋" w:cs="仿宋"/>
                <w:bCs/>
                <w:color w:val="000000" w:themeColor="text1"/>
                <w:kern w:val="0"/>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lang w:val="en-US" w:eastAsia="zh-CN"/>
                <w14:textFill>
                  <w14:solidFill>
                    <w14:schemeClr w14:val="tx1"/>
                  </w14:solidFill>
                </w14:textFill>
              </w:rPr>
              <w:t>面向信息和通信工程技术、信息通信网络维护、信息通信网络运行管理、计算机和办公设备维修等职业，网络产品服务与营销、网络部署与系统集成、网络管理与维护、网站运行与维护等技术领域。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9" w:type="dxa"/>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职业资格</w:t>
            </w:r>
            <w:r>
              <w:rPr>
                <w:rFonts w:hint="eastAsia" w:ascii="仿宋" w:hAnsi="仿宋" w:eastAsia="仿宋" w:cs="仿宋"/>
                <w:bCs/>
                <w:color w:val="000000" w:themeColor="text1"/>
                <w:kern w:val="0"/>
                <w:sz w:val="24"/>
                <w:szCs w:val="24"/>
                <w:lang w:val="en-US" w:eastAsia="zh-CN"/>
                <w14:textFill>
                  <w14:solidFill>
                    <w14:schemeClr w14:val="tx1"/>
                  </w14:solidFill>
                </w14:textFill>
              </w:rPr>
              <w:t>/职业</w:t>
            </w:r>
            <w:r>
              <w:rPr>
                <w:rFonts w:hint="eastAsia" w:ascii="仿宋" w:hAnsi="仿宋" w:eastAsia="仿宋" w:cs="仿宋"/>
                <w:bCs/>
                <w:color w:val="000000" w:themeColor="text1"/>
                <w:kern w:val="0"/>
                <w:sz w:val="24"/>
                <w:szCs w:val="24"/>
                <w14:textFill>
                  <w14:solidFill>
                    <w14:schemeClr w14:val="tx1"/>
                  </w14:solidFill>
                </w14:textFill>
              </w:rPr>
              <w:t>技能证书</w:t>
            </w:r>
            <w:r>
              <w:rPr>
                <w:rFonts w:hint="eastAsia" w:ascii="仿宋" w:hAnsi="仿宋" w:eastAsia="仿宋" w:cs="仿宋"/>
                <w:bCs/>
                <w:color w:val="000000" w:themeColor="text1"/>
                <w:kern w:val="0"/>
                <w:sz w:val="24"/>
                <w:szCs w:val="24"/>
                <w:lang w:val="en-US" w:eastAsia="zh-CN"/>
                <w14:textFill>
                  <w14:solidFill>
                    <w14:schemeClr w14:val="tx1"/>
                  </w14:solidFill>
                </w14:textFill>
              </w:rPr>
              <w:t>举例</w:t>
            </w:r>
          </w:p>
        </w:tc>
        <w:tc>
          <w:tcPr>
            <w:tcW w:w="7142"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计算机等级证书</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一级</w:t>
            </w:r>
            <w:r>
              <w:rPr>
                <w:rFonts w:hint="eastAsia" w:ascii="仿宋" w:hAnsi="仿宋" w:eastAsia="仿宋" w:cs="仿宋"/>
                <w:color w:val="000000" w:themeColor="text1"/>
                <w:sz w:val="24"/>
                <w:szCs w:val="24"/>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000000" w:themeColor="text1"/>
                <w:sz w:val="24"/>
                <w:szCs w:val="24"/>
                <w14:textFill>
                  <w14:solidFill>
                    <w14:schemeClr w14:val="tx1"/>
                  </w14:solidFill>
                </w14:textFill>
              </w:rPr>
            </w:pPr>
            <w:bookmarkStart w:id="13" w:name="_Toc30533"/>
            <w:bookmarkStart w:id="14" w:name="_Toc7422"/>
            <w:bookmarkStart w:id="15" w:name="_Toc14137"/>
            <w:bookmarkStart w:id="16" w:name="_Toc29405"/>
            <w:r>
              <w:rPr>
                <w:rFonts w:hint="eastAsia" w:ascii="仿宋" w:hAnsi="仿宋" w:eastAsia="仿宋" w:cs="仿宋"/>
                <w:color w:val="000000" w:themeColor="text1"/>
                <w:sz w:val="24"/>
                <w:szCs w:val="24"/>
                <w14:textFill>
                  <w14:solidFill>
                    <w14:schemeClr w14:val="tx1"/>
                  </w14:solidFill>
                </w14:textFill>
              </w:rPr>
              <w:t>普通话证书</w:t>
            </w:r>
            <w:bookmarkEnd w:id="13"/>
            <w:bookmarkEnd w:id="14"/>
            <w:bookmarkEnd w:id="15"/>
            <w:bookmarkEnd w:id="16"/>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17" w:name="_Toc4171"/>
      <w:bookmarkStart w:id="18" w:name="_Toc12049"/>
      <w:r>
        <w:rPr>
          <w:rFonts w:hint="eastAsia" w:ascii="黑体" w:hAnsi="黑体" w:eastAsia="黑体" w:cs="黑体"/>
          <w:color w:val="000000" w:themeColor="text1"/>
          <w:sz w:val="32"/>
          <w:szCs w:val="32"/>
          <w14:textFill>
            <w14:solidFill>
              <w14:schemeClr w14:val="tx1"/>
            </w14:solidFill>
          </w14:textFill>
        </w:rPr>
        <w:t>五、培养目标</w:t>
      </w:r>
      <w:bookmarkEnd w:id="17"/>
      <w:bookmarkEnd w:id="18"/>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本专业坚持立德树人，培养德智体美劳全面发展的、具有与本专业相适应的文化水平和良好的职业道德的技术技能型人才</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具备健全的能力结构和创新精神，拥有良好的政治素质、人文素质和职业素养，掌握必需的文化基础知识，专业技术知识和操作技能，具有一定创新意识和自主学习能力，通过参加春季高考进入高等院校继续深造</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outlineLvl w:val="0"/>
        <w:rPr>
          <w:rFonts w:hint="eastAsia" w:ascii="楷体" w:hAnsi="楷体" w:eastAsia="楷体" w:cs="楷体"/>
          <w:color w:val="000000" w:themeColor="text1"/>
          <w:sz w:val="32"/>
          <w:szCs w:val="32"/>
          <w14:textFill>
            <w14:solidFill>
              <w14:schemeClr w14:val="tx1"/>
            </w14:solidFill>
          </w14:textFill>
        </w:rPr>
      </w:pPr>
      <w:bookmarkStart w:id="19" w:name="_Toc4434"/>
      <w:bookmarkStart w:id="20" w:name="_Toc1409"/>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、培养规格</w:t>
      </w:r>
      <w:bookmarkEnd w:id="19"/>
      <w:bookmarkEnd w:id="2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21" w:name="_Toc28457"/>
      <w:bookmarkStart w:id="22" w:name="_Toc13629"/>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素质</w:t>
      </w:r>
      <w:bookmarkEnd w:id="21"/>
      <w:bookmarkEnd w:id="22"/>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1.践行社会主义核心价值观，具有深厚的爱国情感和中华民族自豪感</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2.崇尚宪法、遵法守纪、崇德向善、诚实守信、尊重生命、热爱劳动，履行道德准则和行为规范，具有社会责任感和社会参与意识;</w:t>
      </w:r>
    </w:p>
    <w:p>
      <w:pPr>
        <w:spacing w:line="560" w:lineRule="exact"/>
        <w:ind w:firstLine="640" w:firstLineChars="20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爱岗敬业，诚实守信，廉洁自律，坚持准则，具有严谨细致、客观公正的职业精神和强化服务、参与管理的职业意识；</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具有质量意识、环保意识、安全意识、信息素养、工匠精神、创新思维</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jc w:val="left"/>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.具有坚韧不拔的毅力、积极乐观的态度、良好的人际关系、健全的人格品质，</w:t>
      </w:r>
      <w:r>
        <w:rPr>
          <w:rFonts w:hint="eastAsia" w:ascii="仿宋" w:hAnsi="仿宋" w:eastAsia="仿宋" w:cs="仿宋"/>
          <w:bCs/>
          <w:color w:val="000000" w:themeColor="text1"/>
          <w:sz w:val="32"/>
          <w:szCs w:val="32"/>
          <w14:textFill>
            <w14:solidFill>
              <w14:schemeClr w14:val="tx1"/>
            </w14:solidFill>
          </w14:textFill>
        </w:rPr>
        <w:t>有较强的团队合作精神</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3" w:name="_Toc29304"/>
      <w:bookmarkStart w:id="24" w:name="_Toc31658"/>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）知识</w:t>
      </w:r>
      <w:bookmarkEnd w:id="23"/>
      <w:bookmarkEnd w:id="24"/>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bookmarkStart w:id="25" w:name="_Toc23620"/>
      <w:bookmarkStart w:id="26" w:name="_Toc21028"/>
      <w:r>
        <w:rPr>
          <w:rFonts w:hint="eastAsia" w:ascii="仿宋" w:hAnsi="仿宋" w:eastAsia="仿宋" w:cs="仿宋"/>
          <w:bCs/>
          <w:color w:val="000000" w:themeColor="text1"/>
          <w:sz w:val="32"/>
          <w:szCs w:val="32"/>
          <w:lang w:val="en-US" w:eastAsia="zh-CN"/>
          <w14:textFill>
            <w14:solidFill>
              <w14:schemeClr w14:val="tx1"/>
            </w14:solidFill>
          </w14:textFill>
        </w:rPr>
        <w:t>1.具有满足未来升入高职院校所必备的文化基础知识、专业基础理论知识、专业技能知识；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2.具有与本专业相适应的互补性知识和能力拓展性知识；</w:t>
      </w:r>
    </w:p>
    <w:p>
      <w:pPr>
        <w:spacing w:line="560" w:lineRule="exact"/>
        <w:ind w:firstLine="640" w:firstLineChars="200"/>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3.具备计算机专业基础能力，平面设计制作等主要专业能力。</w:t>
      </w:r>
    </w:p>
    <w:p>
      <w:pPr>
        <w:spacing w:line="560" w:lineRule="exact"/>
        <w:ind w:firstLine="643" w:firstLineChars="200"/>
        <w:jc w:val="left"/>
        <w:rPr>
          <w:rFonts w:hint="eastAsia" w:ascii="楷体" w:hAnsi="楷体" w:eastAsia="楷体" w:cs="楷体"/>
          <w:b/>
          <w:bCs w:val="0"/>
          <w:color w:val="000000" w:themeColor="text1"/>
          <w:sz w:val="32"/>
          <w:szCs w:val="32"/>
          <w14:textFill>
            <w14:solidFill>
              <w14:schemeClr w14:val="tx1"/>
            </w14:solidFill>
          </w14:textFill>
        </w:rPr>
      </w:pP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lang w:val="en-US" w:eastAsia="zh-CN"/>
          <w14:textFill>
            <w14:solidFill>
              <w14:schemeClr w14:val="tx1"/>
            </w14:solidFill>
          </w14:textFill>
        </w:rPr>
        <w:t>三</w:t>
      </w:r>
      <w:r>
        <w:rPr>
          <w:rFonts w:hint="eastAsia" w:ascii="楷体" w:hAnsi="楷体" w:eastAsia="楷体" w:cs="楷体"/>
          <w:b/>
          <w:bCs w:val="0"/>
          <w:color w:val="000000" w:themeColor="text1"/>
          <w:sz w:val="32"/>
          <w:szCs w:val="32"/>
          <w:lang w:eastAsia="zh-CN"/>
          <w14:textFill>
            <w14:solidFill>
              <w14:schemeClr w14:val="tx1"/>
            </w14:solidFill>
          </w14:textFill>
        </w:rPr>
        <w:t>）</w:t>
      </w:r>
      <w:r>
        <w:rPr>
          <w:rFonts w:hint="eastAsia" w:ascii="楷体" w:hAnsi="楷体" w:eastAsia="楷体" w:cs="楷体"/>
          <w:b/>
          <w:bCs w:val="0"/>
          <w:color w:val="000000" w:themeColor="text1"/>
          <w:sz w:val="32"/>
          <w:szCs w:val="32"/>
          <w14:textFill>
            <w14:solidFill>
              <w14:schemeClr w14:val="tx1"/>
            </w14:solidFill>
          </w14:textFill>
        </w:rPr>
        <w:t>能力</w:t>
      </w:r>
      <w:bookmarkEnd w:id="25"/>
      <w:bookmarkEnd w:id="26"/>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w:t>
      </w:r>
      <w:r>
        <w:rPr>
          <w:rFonts w:hint="eastAsia" w:ascii="仿宋" w:hAnsi="仿宋" w:eastAsia="仿宋" w:cs="仿宋"/>
          <w:bCs/>
          <w:color w:val="000000" w:themeColor="text1"/>
          <w:sz w:val="32"/>
          <w:szCs w:val="32"/>
          <w:lang w:val="zh-CN" w:eastAsia="zh-CN"/>
          <w14:textFill>
            <w14:solidFill>
              <w14:schemeClr w14:val="tx1"/>
            </w14:solidFill>
          </w14:textFill>
        </w:rPr>
        <w:t>具备一定的逻辑思维能力、抽象思维能力和语言沟通能力；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w:t>
      </w:r>
      <w:r>
        <w:rPr>
          <w:rFonts w:hint="eastAsia" w:ascii="仿宋" w:hAnsi="仿宋" w:eastAsia="仿宋" w:cs="仿宋"/>
          <w:bCs/>
          <w:color w:val="000000" w:themeColor="text1"/>
          <w:sz w:val="32"/>
          <w:szCs w:val="32"/>
          <w:lang w:val="zh-CN" w:eastAsia="zh-CN"/>
          <w14:textFill>
            <w14:solidFill>
              <w14:schemeClr w14:val="tx1"/>
            </w14:solidFill>
          </w14:textFill>
        </w:rPr>
        <w:t>具备计算机专业基础能力；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lang w:val="zh-CN" w:eastAsia="zh-CN"/>
          <w14:textFill>
            <w14:solidFill>
              <w14:schemeClr w14:val="tx1"/>
            </w14:solidFill>
          </w14:textFill>
        </w:rPr>
        <w:t>具备平面设计制作等主要专业能力；</w:t>
      </w:r>
    </w:p>
    <w:p>
      <w:pPr>
        <w:spacing w:line="560" w:lineRule="exact"/>
        <w:ind w:firstLine="640" w:firstLineChars="200"/>
        <w:jc w:val="left"/>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val="zh-CN" w:eastAsia="zh-CN"/>
          <w14:textFill>
            <w14:solidFill>
              <w14:schemeClr w14:val="tx1"/>
            </w14:solidFill>
          </w14:textFill>
        </w:rPr>
        <w:t>具有一定创新意识和自主学习能力。</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27" w:name="_Toc25735"/>
      <w:bookmarkStart w:id="28" w:name="_Toc31386"/>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、课程设置及要求</w:t>
      </w:r>
      <w:bookmarkEnd w:id="27"/>
      <w:bookmarkEnd w:id="28"/>
    </w:p>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29" w:name="_Toc12132"/>
      <w:bookmarkStart w:id="30" w:name="_Toc8029"/>
      <w:r>
        <w:rPr>
          <w:rFonts w:hint="eastAsia" w:ascii="楷体" w:hAnsi="楷体" w:eastAsia="楷体" w:cs="楷体"/>
          <w:b/>
          <w:bCs/>
          <w:color w:val="000000" w:themeColor="text1"/>
          <w:sz w:val="32"/>
          <w:szCs w:val="32"/>
          <w14:textFill>
            <w14:solidFill>
              <w14:schemeClr w14:val="tx1"/>
            </w14:solidFill>
          </w14:textFill>
        </w:rPr>
        <w:t>（一）公共基础课程</w:t>
      </w:r>
      <w:bookmarkEnd w:id="29"/>
      <w:bookmarkEnd w:id="30"/>
    </w:p>
    <w:tbl>
      <w:tblPr>
        <w:tblStyle w:val="10"/>
        <w:tblW w:w="8798" w:type="dxa"/>
        <w:jc w:val="center"/>
        <w:tblLayout w:type="autofit"/>
        <w:tblCellMar>
          <w:top w:w="0" w:type="dxa"/>
          <w:left w:w="108" w:type="dxa"/>
          <w:bottom w:w="0" w:type="dxa"/>
          <w:right w:w="108" w:type="dxa"/>
        </w:tblCellMar>
      </w:tblPr>
      <w:tblGrid>
        <w:gridCol w:w="748"/>
        <w:gridCol w:w="1477"/>
        <w:gridCol w:w="6573"/>
      </w:tblGrid>
      <w:tr>
        <w:trPr>
          <w:trHeight w:val="53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270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数学</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使学生能够根据法则、公式或按照一定的操作步骤，正确地进行观察分析、空间想象、图形绘制、运算求解、数据提取处理等，提升观察、空间想象、逻辑运算等数学思维能力，具备从数学角度发现和提出问题、运用数学知识和思想方法分析和解决问题，提高学生学习数学的兴趣，培养理性思维、敢于质疑、善于思考、严谨求实的科学精神和精益求精的工匠精神，加深对数学的科学价值、应用价值、文化价值和审美价值的认识</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23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语文</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旨在引导学生根据语言运用情境，开展自主的言语实践活动，积累言语经验，把握祖国语言文字的特点和运用规律，提高语言文字的运用能力、思维能力和审美能力，理解和热爱祖国语言文字，培养健康的审美情趣，积累丰厚的文化底蕴，传承和弘扬中华优秀文化，汲取人类文明优秀成果，提升思维品质和文化素养，培育和践行社会主义核心价值观，增强文化自信。</w:t>
            </w:r>
          </w:p>
        </w:tc>
      </w:tr>
      <w:tr>
        <w:tblPrEx>
          <w:tblCellMar>
            <w:top w:w="0" w:type="dxa"/>
            <w:left w:w="108" w:type="dxa"/>
            <w:bottom w:w="0" w:type="dxa"/>
            <w:right w:w="108" w:type="dxa"/>
          </w:tblCellMar>
        </w:tblPrEx>
        <w:trPr>
          <w:trHeight w:val="347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高中</w:t>
            </w:r>
            <w:r>
              <w:rPr>
                <w:rFonts w:hint="eastAsia" w:ascii="仿宋" w:hAnsi="仿宋" w:eastAsia="仿宋" w:cs="仿宋"/>
                <w:color w:val="000000"/>
                <w:kern w:val="0"/>
                <w:sz w:val="24"/>
                <w:szCs w:val="24"/>
                <w:highlight w:val="none"/>
                <w:lang w:bidi="ar"/>
              </w:rPr>
              <w:t>英语</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本课程在义务教育基础上，帮助学生进一步学习英语基础知识，培养听、说、读、写等语言技能，引导学生围绕相关主题，在真实情境中开展开展语言实践活动，理解不同类型语篇所传递的意义和情感，充分激发和培养学生学习英语的兴趣:能理解英语在表达方式上体现出的中西思维差异，能客观对待不同观点，做出正确的价值判断</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了解世界文化多样性，了解中外文化差异，能进行基本的跨文化交流，能用英语讲授中国故事，促进中华优秀文化传播:能树立正确的英语学习观，多渠道获取英语学习资源，有效规划个人学习，监控评价反思调整自己的学习内容和进程，提高学习效率</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30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信息技术》通过理论知识学习、基础技能训练和综合应用实践，培养学生符合时代要求的信息素养和适应职业发展需要的信息能力，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r>
      <w:tr>
        <w:tblPrEx>
          <w:tblCellMar>
            <w:top w:w="0" w:type="dxa"/>
            <w:left w:w="108" w:type="dxa"/>
            <w:bottom w:w="0" w:type="dxa"/>
            <w:right w:w="108" w:type="dxa"/>
          </w:tblCellMar>
        </w:tblPrEx>
        <w:trPr>
          <w:trHeight w:val="30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bidi="ar"/>
              </w:rPr>
              <w:t>中国特色社会主义</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w:t>
            </w:r>
          </w:p>
        </w:tc>
      </w:tr>
      <w:tr>
        <w:tblPrEx>
          <w:tblCellMar>
            <w:top w:w="0" w:type="dxa"/>
            <w:left w:w="108" w:type="dxa"/>
            <w:bottom w:w="0" w:type="dxa"/>
            <w:right w:w="108" w:type="dxa"/>
          </w:tblCellMar>
        </w:tblPrEx>
        <w:trPr>
          <w:trHeight w:val="2701"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心理健康与职业生涯</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基于社会发展对中职学生心理素质、职业生涯发展提出的新要求以及心理和谐、职业成才的培养目标，间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tc>
      </w:tr>
      <w:tr>
        <w:tblPrEx>
          <w:tblCellMar>
            <w:top w:w="0" w:type="dxa"/>
            <w:left w:w="108" w:type="dxa"/>
            <w:bottom w:w="0" w:type="dxa"/>
            <w:right w:w="108" w:type="dxa"/>
          </w:tblCellMar>
        </w:tblPrEx>
        <w:trPr>
          <w:trHeight w:val="382"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《哲学与人生》阐明马克思主义哲学是科学的世界观和方法论，讲述辩证唯物主义和历史唯物主义基本观点及其对人生成长的意义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阐述社会生活及个人成长中进行正确价值判断和行为选择的意义</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坚持实践第一的观点，正确认识社会问题，分析和处理个人成长中的人生问题，在生活中做出正确的价值判断和行为选择，引导学生自觉弘扬和践行社会主义核心价值观，为学生成长奠定正确的世界观，人生观和价值观基础。</w:t>
            </w:r>
          </w:p>
        </w:tc>
      </w:tr>
      <w:tr>
        <w:tblPrEx>
          <w:tblCellMar>
            <w:top w:w="0" w:type="dxa"/>
            <w:left w:w="108" w:type="dxa"/>
            <w:bottom w:w="0" w:type="dxa"/>
            <w:right w:w="108" w:type="dxa"/>
          </w:tblCellMar>
        </w:tblPrEx>
        <w:trPr>
          <w:trHeight w:val="23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职业道德与法治》课程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使学生以道德和法律的要求规范自己的言行，做恪守道德规范、尊法学法守法用法的好公民</w:t>
            </w:r>
          </w:p>
        </w:tc>
      </w:tr>
      <w:tr>
        <w:tblPrEx>
          <w:tblCellMar>
            <w:top w:w="0" w:type="dxa"/>
            <w:left w:w="108" w:type="dxa"/>
            <w:bottom w:w="0" w:type="dxa"/>
            <w:right w:w="108" w:type="dxa"/>
          </w:tblCellMar>
        </w:tblPrEx>
        <w:trPr>
          <w:trHeight w:val="1163"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9</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体育与健康</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通过对本课程的学习，加深学生对体育文化与健康教育知识的理解，掌握有利于促进健康、调节心理、团队合作、学会生存、美化生活、职业生涯的运动技能</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不断提高耐力、力量、速度等体能素质和运动技术水平，学会制定个人锻炼计划和自我评价锻炼效果的方法</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增强对个人职业健康水平和安全行为的重视程度，具有维护公众健康的社会意识和责任感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养成经常性自觉从事体育锻炼的运动习惯，逐步形成积极进取的人生态度和健康的生活方式，使学生具有健康的人格、强健的体魄，为学生身心健康和职业生涯发展奠定坚实的基础</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3086"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《历史》课程是中等职业学校学生必修的一门公共基础课程。本课程以唯物史观为指导，促进学生进一步了解人类社会形态从低级到高级发展的基本脉络、基本规律和优秀文化成果</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从历史的角度了解和思考人与人、人与社会、人与自然的关系，增强历史使命感和社会责任感</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进一步弘扬以爱国主义为核心的民族精神和以改革创新为核心的时代精神，培育和践行社会主义核心价值观，树立正确的历史观、民族观、国家观和文化观</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塑造健全的人格，养成职业精神，培养德智体美劳全面发展的社会主义建设者和接班人。</w:t>
            </w:r>
          </w:p>
        </w:tc>
      </w:tr>
      <w:tr>
        <w:tblPrEx>
          <w:tblCellMar>
            <w:top w:w="0" w:type="dxa"/>
            <w:left w:w="108" w:type="dxa"/>
            <w:bottom w:w="0" w:type="dxa"/>
            <w:right w:w="108" w:type="dxa"/>
          </w:tblCellMar>
        </w:tblPrEx>
        <w:trPr>
          <w:trHeight w:val="23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习近平新时代中国特色社会主义思想与工匠精</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神</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主要教学内容为习近平新时代中国特色社会主义思想、劳模事迹与时代精神、职业理想与“中国梦”等内容通过学习，让学生不断深化对习近平新时代中国特色社会主义思想的系统认识，逐步形成对拥护党的领导和社会主义制度、坚持和发展中国特色社会主义的认同、自信和自觉。</w:t>
            </w:r>
          </w:p>
        </w:tc>
      </w:tr>
      <w:tr>
        <w:tblPrEx>
          <w:tblCellMar>
            <w:top w:w="0" w:type="dxa"/>
            <w:left w:w="108" w:type="dxa"/>
            <w:bottom w:w="0" w:type="dxa"/>
            <w:right w:w="108" w:type="dxa"/>
          </w:tblCellMar>
        </w:tblPrEx>
        <w:trPr>
          <w:trHeight w:val="23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美术鉴赏与实践》课程是以培养学生的美术审美和实践能力，提升其美术品味为目的的美术活动。学生通过观察体验、赏析、评判等活动，学习美术知识和技能，欣赏美术作品，了解作品主题，感悟作品情感，理解作品内涵认识美术的基本功能与作用，提高审美情趣和美术实践能力，继承和弘扬中华优秀传统文化、革命文化、社会主义先进文化，坚定文化自信。</w:t>
            </w:r>
          </w:p>
        </w:tc>
      </w:tr>
      <w:tr>
        <w:tblPrEx>
          <w:tblCellMar>
            <w:top w:w="0" w:type="dxa"/>
            <w:left w:w="108" w:type="dxa"/>
            <w:bottom w:w="0" w:type="dxa"/>
            <w:right w:w="108" w:type="dxa"/>
          </w:tblCellMar>
        </w:tblPrEx>
        <w:trPr>
          <w:trHeight w:val="15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音乐</w:t>
            </w:r>
            <w:r>
              <w:rPr>
                <w:rFonts w:hint="eastAsia" w:ascii="仿宋" w:hAnsi="仿宋" w:eastAsia="仿宋" w:cs="仿宋"/>
                <w:color w:val="000000"/>
                <w:kern w:val="0"/>
                <w:sz w:val="24"/>
                <w:szCs w:val="24"/>
                <w:highlight w:val="none"/>
                <w:lang w:bidi="ar"/>
              </w:rPr>
              <w:t>鉴赏与实践</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鉴赏与实践》是以培养学生音乐审美和实践能力，提升其音乐品味为目的的音乐活动。学生通过聆听中外景点音乐作品参与音乐实践活动，学习有关知识和技能，认识音乐的基本功能与作用，获得精神愉悦、提高审美情趣和音乐实践能力。</w:t>
            </w:r>
          </w:p>
        </w:tc>
      </w:tr>
      <w:tr>
        <w:tblPrEx>
          <w:tblCellMar>
            <w:top w:w="0" w:type="dxa"/>
            <w:left w:w="108" w:type="dxa"/>
            <w:bottom w:w="0" w:type="dxa"/>
            <w:right w:w="108" w:type="dxa"/>
          </w:tblCellMar>
        </w:tblPrEx>
        <w:trPr>
          <w:trHeight w:val="1548"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《劳动技术》课程使学生能够理解和形成马克思主义劳动观，牢固树立劳动最光荣、劳动最崇高、劳动最伟大、劳动最美丽的观念</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体会劳动创造美好生活，体认劳动不分贵贱，热爱劳动，尊重普通劳动者，培养勤俭、奋斗、创新、奉献的劳动精神</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具备满足生存发展需要的基本劳动能力，形成良好劳动习惯，培育学生精益求精的工匠精神和爱岗敬业的劳动态度。</w:t>
            </w:r>
          </w:p>
        </w:tc>
      </w:tr>
      <w:tr>
        <w:tblPrEx>
          <w:tblCellMar>
            <w:top w:w="0" w:type="dxa"/>
            <w:left w:w="108" w:type="dxa"/>
            <w:bottom w:w="0" w:type="dxa"/>
            <w:right w:w="108" w:type="dxa"/>
          </w:tblCellMar>
        </w:tblPrEx>
        <w:trPr>
          <w:trHeight w:val="231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15</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中华优秀传统文化</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中华优秀传统文化》以增强学生对中华优秀传统文化的理性认识为重点，认识中华文明形成的悠久历史进程，认识人民群众创造历史的决定作用和杰出人物的贡献，了解传统艺术的丰富表现形式和特点，感受不同时代、地域、民族特色的艺术风格等，引导学生感悟中华优秀传统文化的精神内涵，增强学生对中华优秀传统文化的自信心。</w:t>
            </w:r>
          </w:p>
        </w:tc>
      </w:tr>
      <w:tr>
        <w:tblPrEx>
          <w:tblCellMar>
            <w:top w:w="0" w:type="dxa"/>
            <w:left w:w="108" w:type="dxa"/>
            <w:bottom w:w="0" w:type="dxa"/>
            <w:right w:w="108" w:type="dxa"/>
          </w:tblCellMar>
        </w:tblPrEx>
        <w:trPr>
          <w:trHeight w:val="1557"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lang w:val="en-US" w:eastAsia="zh-CN" w:bidi="ar"/>
              </w:rPr>
            </w:pPr>
            <w:bookmarkStart w:id="31" w:name="_Toc20494"/>
            <w:bookmarkStart w:id="32" w:name="_Toc28304"/>
            <w:r>
              <w:rPr>
                <w:rFonts w:hint="eastAsia" w:ascii="仿宋" w:hAnsi="仿宋" w:eastAsia="仿宋" w:cs="仿宋"/>
                <w:color w:val="000000"/>
                <w:kern w:val="0"/>
                <w:sz w:val="24"/>
                <w:szCs w:val="24"/>
                <w:lang w:val="en-US" w:eastAsia="zh-CN" w:bidi="ar"/>
              </w:rPr>
              <w:t>16</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p>
        </w:tc>
        <w:tc>
          <w:tcPr>
            <w:tcW w:w="6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bidi="ar"/>
              </w:rPr>
              <w:t>《音乐</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歌唱</w:t>
            </w:r>
            <w:r>
              <w:rPr>
                <w:rFonts w:hint="eastAsia" w:ascii="仿宋" w:hAnsi="仿宋" w:eastAsia="仿宋" w:cs="仿宋"/>
                <w:color w:val="000000"/>
                <w:kern w:val="0"/>
                <w:sz w:val="24"/>
                <w:szCs w:val="24"/>
                <w:highlight w:val="none"/>
                <w:lang w:eastAsia="zh-CN" w:bidi="ar"/>
              </w:rPr>
              <w:t>）</w:t>
            </w:r>
            <w:r>
              <w:rPr>
                <w:rFonts w:hint="eastAsia" w:ascii="仿宋" w:hAnsi="仿宋" w:eastAsia="仿宋" w:cs="仿宋"/>
                <w:color w:val="000000"/>
                <w:kern w:val="0"/>
                <w:sz w:val="24"/>
                <w:szCs w:val="24"/>
                <w:highlight w:val="none"/>
                <w:lang w:bidi="ar"/>
              </w:rPr>
              <w:t>》课程由声乐相关理论知识及独唱、重唱、合唱等组成，学生通过演唱和赏析优秀声乐作品，学习歌唱方法，丰富歌唱经验，增强审美与情感体验，认识声乐在个人与社会生活中的意义与作用，认识声乐艺术在精神文明建设中的作用</w:t>
            </w:r>
            <w:r>
              <w:rPr>
                <w:rFonts w:hint="eastAsia" w:ascii="仿宋" w:hAnsi="仿宋" w:eastAsia="仿宋" w:cs="仿宋"/>
                <w:color w:val="000000"/>
                <w:kern w:val="0"/>
                <w:sz w:val="24"/>
                <w:szCs w:val="24"/>
                <w:highlight w:val="none"/>
                <w:lang w:eastAsia="zh-CN" w:bidi="ar"/>
              </w:rPr>
              <w:t>。</w:t>
            </w:r>
          </w:p>
        </w:tc>
      </w:tr>
    </w:tbl>
    <w:p>
      <w:pPr>
        <w:numPr>
          <w:ilvl w:val="0"/>
          <w:numId w:val="1"/>
        </w:numPr>
        <w:spacing w:line="560" w:lineRule="exact"/>
        <w:ind w:firstLine="643" w:firstLineChars="200"/>
        <w:jc w:val="left"/>
        <w:outlineLvl w:val="1"/>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专业课程</w:t>
      </w:r>
      <w:bookmarkEnd w:id="31"/>
      <w:bookmarkEnd w:id="32"/>
    </w:p>
    <w:tbl>
      <w:tblPr>
        <w:tblStyle w:val="10"/>
        <w:tblW w:w="8739" w:type="dxa"/>
        <w:jc w:val="center"/>
        <w:tblLayout w:type="autofit"/>
        <w:tblCellMar>
          <w:top w:w="0" w:type="dxa"/>
          <w:left w:w="108" w:type="dxa"/>
          <w:bottom w:w="0" w:type="dxa"/>
          <w:right w:w="108" w:type="dxa"/>
        </w:tblCellMar>
      </w:tblPr>
      <w:tblGrid>
        <w:gridCol w:w="765"/>
        <w:gridCol w:w="1311"/>
        <w:gridCol w:w="6663"/>
      </w:tblGrid>
      <w:tr>
        <w:tblPrEx>
          <w:tblCellMar>
            <w:top w:w="0" w:type="dxa"/>
            <w:left w:w="108" w:type="dxa"/>
            <w:bottom w:w="0" w:type="dxa"/>
            <w:right w:w="108" w:type="dxa"/>
          </w:tblCellMar>
        </w:tblPrEx>
        <w:trPr>
          <w:trHeight w:val="79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课程名称</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主要内容和教学要求</w:t>
            </w:r>
          </w:p>
        </w:tc>
      </w:tr>
      <w:tr>
        <w:tblPrEx>
          <w:tblCellMar>
            <w:top w:w="0" w:type="dxa"/>
            <w:left w:w="108" w:type="dxa"/>
            <w:bottom w:w="0" w:type="dxa"/>
            <w:right w:w="108" w:type="dxa"/>
          </w:tblCellMar>
        </w:tblPrEx>
        <w:trPr>
          <w:trHeight w:val="45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计算机基础</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使学生掌握必备的计算机应用基本概念、熟练掌握Windows 操作系统，能够使用office 办公软件完成与实际工作和生活相关的基础知识和基本技能，考查学生利用计算机解决实际学习、生活中常见问题的能力，为学生的职业生涯发展和终身学习奠定基础。</w:t>
            </w:r>
          </w:p>
        </w:tc>
      </w:tr>
      <w:tr>
        <w:tblPrEx>
          <w:tblCellMar>
            <w:top w:w="0" w:type="dxa"/>
            <w:left w:w="108" w:type="dxa"/>
            <w:bottom w:w="0" w:type="dxa"/>
            <w:right w:w="108" w:type="dxa"/>
          </w:tblCellMar>
        </w:tblPrEx>
        <w:trPr>
          <w:trHeight w:val="1195"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highlight w:val="none"/>
              </w:rPr>
            </w:pPr>
            <w:r>
              <w:rPr>
                <w:rFonts w:hint="eastAsia" w:ascii="仿宋" w:hAnsi="仿宋" w:eastAsia="仿宋" w:cs="仿宋"/>
                <w:i w:val="0"/>
                <w:iCs w:val="0"/>
                <w:color w:val="000000"/>
                <w:kern w:val="0"/>
                <w:sz w:val="24"/>
                <w:szCs w:val="24"/>
                <w:highlight w:val="none"/>
                <w:u w:val="none"/>
                <w:lang w:val="en-US" w:eastAsia="zh-CN" w:bidi="ar"/>
              </w:rPr>
              <w:t>计算机网络基础</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bidi="ar"/>
              </w:rPr>
              <w:t>了解计算机网络的类型，组成、应用等基础知识，熟悉网络工作原理、网络协议和网络规划相关知识，掌握简单局域网搭建及应用，网络设备的基础配置、网络服务器安装与调试等基本技能</w:t>
            </w:r>
            <w:r>
              <w:rPr>
                <w:rFonts w:hint="eastAsia" w:ascii="仿宋" w:hAnsi="仿宋" w:eastAsia="仿宋" w:cs="仿宋"/>
                <w:color w:val="000000"/>
                <w:kern w:val="0"/>
                <w:sz w:val="24"/>
                <w:szCs w:val="24"/>
                <w:highlight w:val="none"/>
                <w:lang w:eastAsia="zh-CN" w:bidi="ar"/>
              </w:rPr>
              <w:t>。</w:t>
            </w:r>
          </w:p>
        </w:tc>
      </w:tr>
      <w:tr>
        <w:tblPrEx>
          <w:tblCellMar>
            <w:top w:w="0" w:type="dxa"/>
            <w:left w:w="108" w:type="dxa"/>
            <w:bottom w:w="0" w:type="dxa"/>
            <w:right w:w="108" w:type="dxa"/>
          </w:tblCellMar>
        </w:tblPrEx>
        <w:trPr>
          <w:trHeight w:val="119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 w:hAnsi="仿宋" w:eastAsia="仿宋" w:cs="仿宋"/>
                <w:color w:val="000000"/>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计算机组装与维修</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掌握计算机的软、硬件系统组成，能够独立完成计算机的拆装，掌握操作系统的安装方法和 BIOS 的设置方法能够进行计算机基本故障的诊断与排除</w:t>
            </w:r>
          </w:p>
        </w:tc>
      </w:tr>
      <w:tr>
        <w:tblPrEx>
          <w:tblCellMar>
            <w:top w:w="0" w:type="dxa"/>
            <w:left w:w="108" w:type="dxa"/>
            <w:bottom w:w="0" w:type="dxa"/>
            <w:right w:w="108" w:type="dxa"/>
          </w:tblCellMar>
        </w:tblPrEx>
        <w:trPr>
          <w:trHeight w:val="119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4</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计算机应用与逻辑</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使学生掌握基本的逻辑推理能力、综合归纳能力和分析论证能力。分析推理试题的内容涉及自然和社会等领域对所给信息的理解、分析、判断、推理等基本逻辑思维能力。</w:t>
            </w:r>
          </w:p>
        </w:tc>
      </w:tr>
      <w:tr>
        <w:tblPrEx>
          <w:tblCellMar>
            <w:top w:w="0" w:type="dxa"/>
            <w:left w:w="108" w:type="dxa"/>
            <w:bottom w:w="0" w:type="dxa"/>
            <w:right w:w="108" w:type="dxa"/>
          </w:tblCellMar>
        </w:tblPrEx>
        <w:trPr>
          <w:trHeight w:val="2776"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5</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高中政治</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（时事政治与社会适应）</w:t>
            </w:r>
          </w:p>
        </w:tc>
        <w:tc>
          <w:tcPr>
            <w:tcW w:w="6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使学生掌握政治、文化、哲学等学科所涉及的基本概念和基本观点，以及运用这些知识分析问题、解决问题的能力。年度间国内外重大时事 (上年度4月至考试当年3月)，中国共产党和中国政府在现阶段的基本路线和重大方针政策。能够具备参加职业教育学习所必须具备的理解能力、执行能力、创造性思维能力。其中，优化方案以社会生活情境中的现实问题，使学生把握信息、有效决策的能力。依据材料写作要求学生有正确的价值观，能清楚正确地表达观点。</w:t>
            </w:r>
          </w:p>
        </w:tc>
      </w:tr>
    </w:tbl>
    <w:p>
      <w:pPr>
        <w:spacing w:line="560" w:lineRule="exact"/>
        <w:ind w:firstLine="643" w:firstLineChars="200"/>
        <w:jc w:val="left"/>
        <w:outlineLvl w:val="1"/>
        <w:rPr>
          <w:rFonts w:hint="eastAsia" w:ascii="楷体" w:hAnsi="楷体" w:eastAsia="楷体" w:cs="楷体"/>
          <w:b/>
          <w:bCs/>
          <w:color w:val="000000" w:themeColor="text1"/>
          <w:sz w:val="32"/>
          <w:szCs w:val="32"/>
          <w:lang w:eastAsia="zh-CN"/>
          <w14:textFill>
            <w14:solidFill>
              <w14:schemeClr w14:val="tx1"/>
            </w14:solidFill>
          </w14:textFill>
        </w:rPr>
      </w:pPr>
      <w:bookmarkStart w:id="33" w:name="_Toc32707"/>
      <w:bookmarkStart w:id="34" w:name="_Toc18187"/>
      <w:r>
        <w:rPr>
          <w:rFonts w:hint="eastAsia" w:ascii="楷体" w:hAnsi="楷体" w:eastAsia="楷体" w:cs="楷体"/>
          <w:b/>
          <w:bCs/>
          <w:color w:val="000000" w:themeColor="text1"/>
          <w:sz w:val="32"/>
          <w:szCs w:val="32"/>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三</w:t>
      </w:r>
      <w:r>
        <w:rPr>
          <w:rFonts w:hint="eastAsia" w:ascii="楷体" w:hAnsi="楷体" w:eastAsia="楷体" w:cs="楷体"/>
          <w:b/>
          <w:bCs/>
          <w:color w:val="000000" w:themeColor="text1"/>
          <w:sz w:val="32"/>
          <w:szCs w:val="32"/>
          <w14:textFill>
            <w14:solidFill>
              <w14:schemeClr w14:val="tx1"/>
            </w14:solidFill>
          </w14:textFill>
        </w:rPr>
        <w:t>）资格认证课程</w:t>
      </w:r>
      <w:bookmarkEnd w:id="33"/>
      <w:bookmarkEnd w:id="34"/>
    </w:p>
    <w:tbl>
      <w:tblPr>
        <w:tblStyle w:val="10"/>
        <w:tblW w:w="8859" w:type="dxa"/>
        <w:jc w:val="center"/>
        <w:tblLayout w:type="autofit"/>
        <w:tblCellMar>
          <w:top w:w="0" w:type="dxa"/>
          <w:left w:w="108" w:type="dxa"/>
          <w:bottom w:w="0" w:type="dxa"/>
          <w:right w:w="108" w:type="dxa"/>
        </w:tblCellMar>
      </w:tblPr>
      <w:tblGrid>
        <w:gridCol w:w="3312"/>
        <w:gridCol w:w="3317"/>
        <w:gridCol w:w="2230"/>
      </w:tblGrid>
      <w:tr>
        <w:tblPrEx>
          <w:tblCellMar>
            <w:top w:w="0" w:type="dxa"/>
            <w:left w:w="108" w:type="dxa"/>
            <w:bottom w:w="0" w:type="dxa"/>
            <w:right w:w="108" w:type="dxa"/>
          </w:tblCellMar>
        </w:tblPrEx>
        <w:trPr>
          <w:trHeight w:val="418" w:hRule="atLeast"/>
          <w:jc w:val="center"/>
        </w:trPr>
        <w:tc>
          <w:tcPr>
            <w:tcW w:w="331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证书名称</w:t>
            </w:r>
          </w:p>
        </w:tc>
        <w:tc>
          <w:tcPr>
            <w:tcW w:w="331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颁发机构</w:t>
            </w:r>
          </w:p>
        </w:tc>
        <w:tc>
          <w:tcPr>
            <w:tcW w:w="22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bidi="ar"/>
              </w:rPr>
              <w:t>课程</w:t>
            </w:r>
            <w:r>
              <w:rPr>
                <w:rFonts w:hint="eastAsia" w:ascii="仿宋" w:hAnsi="仿宋" w:eastAsia="仿宋" w:cs="仿宋"/>
                <w:b/>
                <w:bCs/>
                <w:color w:val="000000"/>
                <w:kern w:val="0"/>
                <w:sz w:val="24"/>
                <w:szCs w:val="24"/>
                <w:lang w:val="en-US" w:eastAsia="zh-CN" w:bidi="ar"/>
              </w:rPr>
              <w:t>名称</w:t>
            </w:r>
          </w:p>
        </w:tc>
      </w:tr>
      <w:tr>
        <w:tblPrEx>
          <w:tblCellMar>
            <w:top w:w="0" w:type="dxa"/>
            <w:left w:w="108" w:type="dxa"/>
            <w:bottom w:w="0" w:type="dxa"/>
            <w:right w:w="108" w:type="dxa"/>
          </w:tblCellMar>
        </w:tblPrEx>
        <w:trPr>
          <w:trHeight w:val="418" w:hRule="atLeast"/>
          <w:jc w:val="center"/>
        </w:trPr>
        <w:tc>
          <w:tcPr>
            <w:tcW w:w="331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kern w:val="0"/>
                <w:sz w:val="24"/>
                <w:szCs w:val="24"/>
                <w:lang w:bidi="ar"/>
              </w:rPr>
              <w:t>全国计算机等级考试（一级）</w:t>
            </w:r>
          </w:p>
        </w:tc>
        <w:tc>
          <w:tcPr>
            <w:tcW w:w="331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教育部考试中心</w:t>
            </w:r>
          </w:p>
        </w:tc>
        <w:tc>
          <w:tcPr>
            <w:tcW w:w="223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color w:val="000000"/>
                <w:sz w:val="24"/>
                <w:szCs w:val="24"/>
              </w:rPr>
              <w:t>信息技术</w:t>
            </w:r>
          </w:p>
        </w:tc>
      </w:tr>
      <w:tr>
        <w:tblPrEx>
          <w:tblCellMar>
            <w:top w:w="0" w:type="dxa"/>
            <w:left w:w="108" w:type="dxa"/>
            <w:bottom w:w="0" w:type="dxa"/>
            <w:right w:w="108" w:type="dxa"/>
          </w:tblCellMar>
        </w:tblPrEx>
        <w:trPr>
          <w:trHeight w:val="428" w:hRule="atLeast"/>
          <w:jc w:val="center"/>
        </w:trPr>
        <w:tc>
          <w:tcPr>
            <w:tcW w:w="33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普通话</w:t>
            </w:r>
          </w:p>
        </w:tc>
        <w:tc>
          <w:tcPr>
            <w:tcW w:w="33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i w:val="0"/>
                <w:iCs w:val="0"/>
                <w:caps w:val="0"/>
                <w:color w:val="333333"/>
                <w:spacing w:val="0"/>
                <w:sz w:val="24"/>
                <w:szCs w:val="24"/>
                <w:shd w:val="clear" w:fill="FFFFFF"/>
              </w:rPr>
              <w:t>国家语言文字工作委员会</w:t>
            </w:r>
          </w:p>
        </w:tc>
        <w:tc>
          <w:tcPr>
            <w:tcW w:w="22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语文</w:t>
            </w:r>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35" w:name="_Toc5200"/>
      <w:bookmarkStart w:id="36" w:name="_Toc2660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相关要求</w:t>
      </w:r>
      <w:bookmarkEnd w:id="35"/>
      <w:bookmarkEnd w:id="36"/>
    </w:p>
    <w:p>
      <w:pPr>
        <w:numPr>
          <w:ilvl w:val="0"/>
          <w:numId w:val="0"/>
        </w:numPr>
        <w:spacing w:line="560" w:lineRule="exact"/>
        <w:ind w:firstLine="640" w:firstLineChars="20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本专业落实课程思政，推进全员、全过程、全方位育人，实现思想政治教育与技术技能培养的有机统一。开设人际关系与沟通技巧、创新创业教育、就业指导等方面的专题讲座，将志愿服务活动和</w:t>
      </w:r>
      <w:r>
        <w:rPr>
          <w:rFonts w:hint="eastAsia" w:ascii="仿宋" w:hAnsi="仿宋" w:eastAsia="仿宋" w:cs="仿宋"/>
          <w:b w:val="0"/>
          <w:bCs w:val="0"/>
          <w:color w:val="000000" w:themeColor="text1"/>
          <w:sz w:val="32"/>
          <w:szCs w:val="32"/>
          <w:lang w:val="en-US" w:eastAsia="zh-CN"/>
          <w14:textFill>
            <w14:solidFill>
              <w14:schemeClr w14:val="tx1"/>
            </w14:solidFill>
          </w14:textFill>
        </w:rPr>
        <w:t>劳动</w:t>
      </w:r>
      <w:r>
        <w:rPr>
          <w:rFonts w:hint="eastAsia" w:ascii="仿宋" w:hAnsi="仿宋" w:eastAsia="仿宋" w:cs="仿宋"/>
          <w:b w:val="0"/>
          <w:bCs w:val="0"/>
          <w:color w:val="000000" w:themeColor="text1"/>
          <w:sz w:val="32"/>
          <w:szCs w:val="32"/>
          <w14:textFill>
            <w14:solidFill>
              <w14:schemeClr w14:val="tx1"/>
            </w14:solidFill>
          </w14:textFill>
        </w:rPr>
        <w:t>实践活动融入有关实践性教学环节中。</w:t>
      </w:r>
    </w:p>
    <w:p>
      <w:pPr>
        <w:numPr>
          <w:ilvl w:val="0"/>
          <w:numId w:val="0"/>
        </w:num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37" w:name="_Toc5183"/>
      <w:bookmarkStart w:id="38" w:name="_Toc31348"/>
      <w:r>
        <w:rPr>
          <w:rFonts w:hint="eastAsia" w:ascii="黑体" w:hAnsi="黑体" w:eastAsia="黑体" w:cs="黑体"/>
          <w:color w:val="000000" w:themeColor="text1"/>
          <w:sz w:val="32"/>
          <w:szCs w:val="32"/>
          <w:lang w:val="en-US"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教学进程总体安排</w:t>
      </w:r>
      <w:bookmarkEnd w:id="37"/>
      <w:bookmarkEnd w:id="38"/>
    </w:p>
    <w:tbl>
      <w:tblPr>
        <w:tblStyle w:val="10"/>
        <w:tblW w:w="8893" w:type="dxa"/>
        <w:jc w:val="center"/>
        <w:tblLayout w:type="fixed"/>
        <w:tblCellMar>
          <w:top w:w="0" w:type="dxa"/>
          <w:left w:w="108" w:type="dxa"/>
          <w:bottom w:w="0" w:type="dxa"/>
          <w:right w:w="108" w:type="dxa"/>
        </w:tblCellMar>
      </w:tblPr>
      <w:tblGrid>
        <w:gridCol w:w="437"/>
        <w:gridCol w:w="547"/>
        <w:gridCol w:w="1573"/>
        <w:gridCol w:w="637"/>
        <w:gridCol w:w="637"/>
        <w:gridCol w:w="661"/>
        <w:gridCol w:w="535"/>
        <w:gridCol w:w="562"/>
        <w:gridCol w:w="535"/>
        <w:gridCol w:w="537"/>
        <w:gridCol w:w="535"/>
        <w:gridCol w:w="537"/>
        <w:gridCol w:w="535"/>
        <w:gridCol w:w="625"/>
      </w:tblGrid>
      <w:tr>
        <w:tblPrEx>
          <w:tblCellMar>
            <w:top w:w="0" w:type="dxa"/>
            <w:left w:w="108" w:type="dxa"/>
            <w:bottom w:w="0" w:type="dxa"/>
            <w:right w:w="108" w:type="dxa"/>
          </w:tblCellMar>
        </w:tblPrEx>
        <w:trPr>
          <w:trHeight w:val="329" w:hRule="atLeast"/>
          <w:jc w:val="center"/>
        </w:trPr>
        <w:tc>
          <w:tcPr>
            <w:tcW w:w="43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bookmarkStart w:id="39" w:name="_Toc1396"/>
            <w:bookmarkStart w:id="40" w:name="_Toc23920"/>
            <w:r>
              <w:rPr>
                <w:rFonts w:hint="eastAsia" w:ascii="仿宋" w:hAnsi="仿宋" w:eastAsia="仿宋" w:cs="仿宋"/>
                <w:b/>
                <w:bCs/>
                <w:sz w:val="21"/>
                <w:szCs w:val="21"/>
                <w:highlight w:val="none"/>
              </w:rPr>
              <w:t>分类</w:t>
            </w:r>
          </w:p>
        </w:tc>
        <w:tc>
          <w:tcPr>
            <w:tcW w:w="547"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序号</w:t>
            </w:r>
          </w:p>
        </w:tc>
        <w:tc>
          <w:tcPr>
            <w:tcW w:w="1573"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课程</w:t>
            </w:r>
          </w:p>
        </w:tc>
        <w:tc>
          <w:tcPr>
            <w:tcW w:w="1935"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学时</w:t>
            </w:r>
          </w:p>
        </w:tc>
        <w:tc>
          <w:tcPr>
            <w:tcW w:w="535"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考试</w:t>
            </w:r>
          </w:p>
        </w:tc>
        <w:tc>
          <w:tcPr>
            <w:tcW w:w="562" w:type="dxa"/>
            <w:vMerge w:val="restart"/>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考查</w:t>
            </w:r>
          </w:p>
        </w:tc>
        <w:tc>
          <w:tcPr>
            <w:tcW w:w="3304" w:type="dxa"/>
            <w:gridSpan w:val="6"/>
            <w:tcBorders>
              <w:top w:val="single" w:color="auto" w:sz="4" w:space="0"/>
              <w:left w:val="nil"/>
              <w:bottom w:val="nil"/>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学时分配</w:t>
            </w:r>
          </w:p>
        </w:tc>
      </w:tr>
      <w:tr>
        <w:tblPrEx>
          <w:tblCellMar>
            <w:top w:w="0" w:type="dxa"/>
            <w:left w:w="108" w:type="dxa"/>
            <w:bottom w:w="0" w:type="dxa"/>
            <w:right w:w="108" w:type="dxa"/>
          </w:tblCellMar>
        </w:tblPrEx>
        <w:trPr>
          <w:trHeight w:val="326" w:hRule="atLeast"/>
          <w:jc w:val="center"/>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573"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37"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合计</w:t>
            </w:r>
          </w:p>
        </w:tc>
        <w:tc>
          <w:tcPr>
            <w:tcW w:w="637"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理论教学</w:t>
            </w:r>
          </w:p>
        </w:tc>
        <w:tc>
          <w:tcPr>
            <w:tcW w:w="661" w:type="dxa"/>
            <w:vMerge w:val="restart"/>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实验实训</w:t>
            </w:r>
          </w:p>
        </w:tc>
        <w:tc>
          <w:tcPr>
            <w:tcW w:w="53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072"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第一学年</w:t>
            </w:r>
          </w:p>
        </w:tc>
        <w:tc>
          <w:tcPr>
            <w:tcW w:w="1072"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第二学年</w:t>
            </w:r>
          </w:p>
        </w:tc>
        <w:tc>
          <w:tcPr>
            <w:tcW w:w="1160" w:type="dxa"/>
            <w:gridSpan w:val="2"/>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第三学年</w:t>
            </w:r>
          </w:p>
        </w:tc>
      </w:tr>
      <w:tr>
        <w:tblPrEx>
          <w:tblCellMar>
            <w:top w:w="0" w:type="dxa"/>
            <w:left w:w="108" w:type="dxa"/>
            <w:bottom w:w="0" w:type="dxa"/>
            <w:right w:w="108" w:type="dxa"/>
          </w:tblCellMar>
        </w:tblPrEx>
        <w:trPr>
          <w:trHeight w:val="326" w:hRule="atLeast"/>
          <w:jc w:val="center"/>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573"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3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3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61"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3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2</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3</w:t>
            </w: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w:t>
            </w: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r>
      <w:tr>
        <w:tblPrEx>
          <w:tblCellMar>
            <w:top w:w="0" w:type="dxa"/>
            <w:left w:w="108" w:type="dxa"/>
            <w:bottom w:w="0" w:type="dxa"/>
            <w:right w:w="108" w:type="dxa"/>
          </w:tblCellMar>
        </w:tblPrEx>
        <w:trPr>
          <w:trHeight w:val="631" w:hRule="atLeast"/>
          <w:jc w:val="center"/>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1573"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3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37"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661" w:type="dxa"/>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35"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62"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18/18</w:t>
            </w: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w:t>
            </w:r>
          </w:p>
        </w:tc>
      </w:tr>
      <w:tr>
        <w:tblPrEx>
          <w:tblCellMar>
            <w:top w:w="0" w:type="dxa"/>
            <w:left w:w="108" w:type="dxa"/>
            <w:bottom w:w="0" w:type="dxa"/>
            <w:right w:w="108" w:type="dxa"/>
          </w:tblCellMar>
        </w:tblPrEx>
        <w:trPr>
          <w:trHeight w:val="631" w:hRule="atLeast"/>
          <w:jc w:val="center"/>
        </w:trPr>
        <w:tc>
          <w:tcPr>
            <w:tcW w:w="437" w:type="dxa"/>
            <w:vMerge w:val="restart"/>
            <w:tcBorders>
              <w:top w:val="nil"/>
              <w:left w:val="single" w:color="000000" w:sz="8" w:space="0"/>
              <w:bottom w:val="nil"/>
              <w:right w:val="single" w:color="000000" w:sz="8" w:space="0"/>
            </w:tcBorders>
            <w:shd w:val="clear" w:color="auto" w:fill="FFFFFF"/>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公共基础课程</w:t>
            </w:r>
          </w:p>
        </w:tc>
        <w:tc>
          <w:tcPr>
            <w:tcW w:w="54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73" w:type="dxa"/>
            <w:tcBorders>
              <w:top w:val="single" w:color="auto" w:sz="4" w:space="0"/>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中国特色社会主义</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6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56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31"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心理健康与职业生涯</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哲学与人生</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36</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3</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31"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职业道德与法治</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4</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1552"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习近平新时代中国特色社会主义思想与工匠精神/形式与政策</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4</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157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高中语文</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624</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624</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157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高中数学</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588</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588</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157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高中英语</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552</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552</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1-6</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r>
      <w:tr>
        <w:tblPrEx>
          <w:tblCellMar>
            <w:top w:w="0" w:type="dxa"/>
            <w:left w:w="108" w:type="dxa"/>
            <w:bottom w:w="0" w:type="dxa"/>
            <w:right w:w="108" w:type="dxa"/>
          </w:tblCellMar>
        </w:tblPrEx>
        <w:trPr>
          <w:trHeight w:val="631"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157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信息技术</w:t>
            </w:r>
          </w:p>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(以证代考)</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108</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54</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54</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体育与健康</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144</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144</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1-4</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历史</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72</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r>
              <w:rPr>
                <w:rFonts w:hint="eastAsia" w:ascii="仿宋" w:hAnsi="仿宋" w:eastAsia="仿宋" w:cs="仿宋"/>
                <w:sz w:val="20"/>
                <w:szCs w:val="20"/>
                <w:highlight w:val="none"/>
              </w:rPr>
              <w:t>72</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93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音乐鉴赏与实践/美术鉴赏与实践</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13</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劳动技术/歌唱</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18</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631"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14</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中华优秀传统文化</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326" w:hRule="atLeast"/>
          <w:jc w:val="center"/>
        </w:trPr>
        <w:tc>
          <w:tcPr>
            <w:tcW w:w="437" w:type="dxa"/>
            <w:vMerge w:val="continue"/>
            <w:tcBorders>
              <w:top w:val="nil"/>
              <w:left w:val="single" w:color="000000" w:sz="8" w:space="0"/>
              <w:bottom w:val="nil"/>
              <w:right w:val="single" w:color="000000" w:sz="8" w:space="0"/>
            </w:tcBorders>
            <w:vAlign w:val="center"/>
          </w:tcPr>
          <w:p>
            <w:pPr>
              <w:widowControl/>
              <w:jc w:val="left"/>
              <w:rPr>
                <w:rFonts w:hint="eastAsia" w:ascii="仿宋" w:hAnsi="仿宋" w:eastAsia="仿宋" w:cs="仿宋"/>
                <w:b/>
                <w:bCs/>
                <w:sz w:val="21"/>
                <w:szCs w:val="21"/>
                <w:highlight w:val="none"/>
              </w:rPr>
            </w:pPr>
          </w:p>
        </w:tc>
        <w:tc>
          <w:tcPr>
            <w:tcW w:w="2120"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小计</w:t>
            </w:r>
          </w:p>
        </w:tc>
        <w:tc>
          <w:tcPr>
            <w:tcW w:w="63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0"/>
                <w:szCs w:val="20"/>
                <w:highlight w:val="none"/>
              </w:rPr>
            </w:pPr>
            <w:r>
              <w:rPr>
                <w:rFonts w:hint="eastAsia" w:ascii="仿宋" w:hAnsi="仿宋" w:eastAsia="仿宋" w:cs="仿宋"/>
                <w:kern w:val="0"/>
                <w:sz w:val="20"/>
                <w:szCs w:val="20"/>
                <w:highlight w:val="none"/>
              </w:rPr>
              <w:t>2376</w:t>
            </w:r>
          </w:p>
        </w:tc>
        <w:tc>
          <w:tcPr>
            <w:tcW w:w="63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sz w:val="20"/>
                <w:szCs w:val="20"/>
                <w:highlight w:val="none"/>
              </w:rPr>
            </w:pPr>
            <w:r>
              <w:rPr>
                <w:rFonts w:hint="eastAsia" w:ascii="仿宋" w:hAnsi="仿宋" w:eastAsia="仿宋" w:cs="仿宋"/>
                <w:kern w:val="0"/>
                <w:sz w:val="20"/>
                <w:szCs w:val="20"/>
                <w:highlight w:val="none"/>
              </w:rPr>
              <w:t>2142</w:t>
            </w:r>
          </w:p>
        </w:tc>
        <w:tc>
          <w:tcPr>
            <w:tcW w:w="661" w:type="dxa"/>
            <w:tcBorders>
              <w:top w:val="nil"/>
              <w:left w:val="nil"/>
              <w:bottom w:val="single" w:color="auto" w:sz="4" w:space="0"/>
              <w:right w:val="single" w:color="auto" w:sz="4" w:space="0"/>
            </w:tcBorders>
          </w:tcPr>
          <w:p>
            <w:pPr>
              <w:widowControl/>
              <w:jc w:val="center"/>
              <w:rPr>
                <w:rFonts w:hint="eastAsia" w:ascii="仿宋" w:hAnsi="仿宋" w:eastAsia="仿宋" w:cs="仿宋"/>
                <w:b/>
                <w:bCs/>
                <w:kern w:val="0"/>
                <w:sz w:val="18"/>
                <w:szCs w:val="18"/>
                <w:highlight w:val="none"/>
              </w:rPr>
            </w:pPr>
            <w:r>
              <w:rPr>
                <w:rFonts w:hint="eastAsia" w:ascii="仿宋" w:hAnsi="仿宋" w:eastAsia="仿宋" w:cs="仿宋"/>
                <w:b/>
                <w:bCs/>
                <w:kern w:val="0"/>
                <w:sz w:val="18"/>
                <w:szCs w:val="18"/>
                <w:highlight w:val="none"/>
              </w:rPr>
              <w:t>234</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24</w:t>
            </w:r>
          </w:p>
        </w:tc>
      </w:tr>
      <w:tr>
        <w:tblPrEx>
          <w:tblCellMar>
            <w:top w:w="0" w:type="dxa"/>
            <w:left w:w="108" w:type="dxa"/>
            <w:bottom w:w="0" w:type="dxa"/>
            <w:right w:w="108" w:type="dxa"/>
          </w:tblCellMar>
        </w:tblPrEx>
        <w:trPr>
          <w:trHeight w:val="631" w:hRule="atLeast"/>
          <w:jc w:val="center"/>
        </w:trPr>
        <w:tc>
          <w:tcPr>
            <w:tcW w:w="437" w:type="dxa"/>
            <w:vMerge w:val="restart"/>
            <w:tcBorders>
              <w:top w:val="nil"/>
              <w:left w:val="single" w:color="auto" w:sz="4" w:space="0"/>
              <w:bottom w:val="nil"/>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专业基础课程</w:t>
            </w: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157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计算机网络基础</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r>
              <w:rPr>
                <w:rFonts w:hint="eastAsia" w:ascii="仿宋" w:hAnsi="仿宋" w:eastAsia="仿宋" w:cs="仿宋"/>
                <w:kern w:val="0"/>
                <w:sz w:val="21"/>
                <w:szCs w:val="21"/>
                <w:highlight w:val="none"/>
              </w:rPr>
              <w:t>16</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936" w:hRule="atLeast"/>
          <w:jc w:val="center"/>
        </w:trPr>
        <w:tc>
          <w:tcPr>
            <w:tcW w:w="437"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1573"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计算机组装与维修(以证代考)</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20</w:t>
            </w:r>
          </w:p>
        </w:tc>
        <w:tc>
          <w:tcPr>
            <w:tcW w:w="661"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w:t>
            </w: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p>
        </w:tc>
      </w:tr>
      <w:tr>
        <w:tblPrEx>
          <w:tblCellMar>
            <w:top w:w="0" w:type="dxa"/>
            <w:left w:w="108" w:type="dxa"/>
            <w:bottom w:w="0" w:type="dxa"/>
            <w:right w:w="108" w:type="dxa"/>
          </w:tblCellMar>
        </w:tblPrEx>
        <w:trPr>
          <w:trHeight w:val="490" w:hRule="atLeast"/>
          <w:jc w:val="center"/>
        </w:trPr>
        <w:tc>
          <w:tcPr>
            <w:tcW w:w="437"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计算机基础</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168</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168</w:t>
            </w:r>
          </w:p>
        </w:tc>
        <w:tc>
          <w:tcPr>
            <w:tcW w:w="661" w:type="dxa"/>
            <w:tcBorders>
              <w:top w:val="nil"/>
              <w:left w:val="nil"/>
              <w:bottom w:val="single" w:color="auto" w:sz="4" w:space="0"/>
              <w:right w:val="single" w:color="auto" w:sz="4" w:space="0"/>
            </w:tcBorders>
            <w:vAlign w:val="center"/>
          </w:tcPr>
          <w:p>
            <w:pPr>
              <w:widowControl/>
              <w:rPr>
                <w:rFonts w:hint="eastAsia" w:ascii="仿宋" w:hAnsi="仿宋" w:eastAsia="仿宋" w:cs="仿宋"/>
                <w:sz w:val="22"/>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4-6</w:t>
            </w:r>
          </w:p>
        </w:tc>
        <w:tc>
          <w:tcPr>
            <w:tcW w:w="56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highlight w:val="none"/>
              </w:rPr>
            </w:pP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c>
          <w:tcPr>
            <w:tcW w:w="625" w:type="dxa"/>
            <w:tcBorders>
              <w:top w:val="nil"/>
              <w:left w:val="nil"/>
              <w:bottom w:val="nil"/>
              <w:right w:val="single" w:color="auto" w:sz="4" w:space="0"/>
            </w:tcBorders>
            <w:vAlign w:val="center"/>
          </w:tcPr>
          <w:p>
            <w:pPr>
              <w:jc w:val="center"/>
              <w:rPr>
                <w:rFonts w:hint="eastAsia" w:ascii="仿宋" w:hAnsi="仿宋" w:eastAsia="仿宋" w:cs="仿宋"/>
                <w:sz w:val="22"/>
                <w:highlight w:val="none"/>
              </w:rPr>
            </w:pPr>
            <w:r>
              <w:rPr>
                <w:rFonts w:hint="eastAsia" w:ascii="仿宋" w:hAnsi="仿宋" w:eastAsia="仿宋" w:cs="仿宋"/>
                <w:sz w:val="22"/>
                <w:highlight w:val="none"/>
              </w:rPr>
              <w:t>4</w:t>
            </w:r>
          </w:p>
        </w:tc>
      </w:tr>
      <w:tr>
        <w:tblPrEx>
          <w:tblCellMar>
            <w:top w:w="0" w:type="dxa"/>
            <w:left w:w="108" w:type="dxa"/>
            <w:bottom w:w="0" w:type="dxa"/>
            <w:right w:w="108" w:type="dxa"/>
          </w:tblCellMar>
        </w:tblPrEx>
        <w:trPr>
          <w:trHeight w:val="631" w:hRule="atLeast"/>
          <w:jc w:val="center"/>
        </w:trPr>
        <w:tc>
          <w:tcPr>
            <w:tcW w:w="437"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计算机应用与逻辑</w:t>
            </w:r>
          </w:p>
        </w:tc>
        <w:tc>
          <w:tcPr>
            <w:tcW w:w="637"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168</w:t>
            </w:r>
          </w:p>
        </w:tc>
        <w:tc>
          <w:tcPr>
            <w:tcW w:w="637"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168</w:t>
            </w:r>
          </w:p>
        </w:tc>
        <w:tc>
          <w:tcPr>
            <w:tcW w:w="661" w:type="dxa"/>
            <w:tcBorders>
              <w:top w:val="nil"/>
              <w:left w:val="nil"/>
              <w:bottom w:val="nil"/>
              <w:right w:val="single" w:color="auto" w:sz="4" w:space="0"/>
            </w:tcBorders>
            <w:vAlign w:val="center"/>
          </w:tcPr>
          <w:p>
            <w:pPr>
              <w:widowControl/>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3-6</w:t>
            </w:r>
          </w:p>
        </w:tc>
        <w:tc>
          <w:tcPr>
            <w:tcW w:w="562" w:type="dxa"/>
            <w:tcBorders>
              <w:top w:val="nil"/>
              <w:left w:val="nil"/>
              <w:bottom w:val="nil"/>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35"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nil"/>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2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108" w:type="dxa"/>
            <w:bottom w:w="0" w:type="dxa"/>
            <w:right w:w="108" w:type="dxa"/>
          </w:tblCellMar>
        </w:tblPrEx>
        <w:trPr>
          <w:trHeight w:val="936" w:hRule="atLeast"/>
          <w:jc w:val="center"/>
        </w:trPr>
        <w:tc>
          <w:tcPr>
            <w:tcW w:w="437"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54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1573" w:type="dxa"/>
            <w:tcBorders>
              <w:top w:val="nil"/>
              <w:left w:val="nil"/>
              <w:bottom w:val="single" w:color="auto" w:sz="4" w:space="0"/>
              <w:right w:val="single" w:color="auto" w:sz="4" w:space="0"/>
            </w:tcBorders>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高中政治（时事政治与社会适应）</w:t>
            </w:r>
          </w:p>
        </w:tc>
        <w:tc>
          <w:tcPr>
            <w:tcW w:w="637"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96</w:t>
            </w:r>
          </w:p>
        </w:tc>
        <w:tc>
          <w:tcPr>
            <w:tcW w:w="637"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96</w:t>
            </w:r>
          </w:p>
        </w:tc>
        <w:tc>
          <w:tcPr>
            <w:tcW w:w="661" w:type="dxa"/>
            <w:tcBorders>
              <w:top w:val="single" w:color="auto" w:sz="4" w:space="0"/>
              <w:left w:val="nil"/>
              <w:bottom w:val="nil"/>
              <w:right w:val="single" w:color="auto" w:sz="4" w:space="0"/>
            </w:tcBorders>
            <w:vAlign w:val="center"/>
          </w:tcPr>
          <w:p>
            <w:pPr>
              <w:widowControl/>
              <w:jc w:val="center"/>
              <w:rPr>
                <w:rFonts w:hint="eastAsia" w:ascii="仿宋" w:hAnsi="仿宋" w:eastAsia="仿宋" w:cs="仿宋"/>
                <w:sz w:val="21"/>
                <w:szCs w:val="21"/>
                <w:highlight w:val="none"/>
              </w:rPr>
            </w:pPr>
          </w:p>
        </w:tc>
        <w:tc>
          <w:tcPr>
            <w:tcW w:w="5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5-6</w:t>
            </w:r>
          </w:p>
        </w:tc>
        <w:tc>
          <w:tcPr>
            <w:tcW w:w="562"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1"/>
                <w:szCs w:val="21"/>
                <w:highlight w:val="none"/>
              </w:rPr>
            </w:pPr>
          </w:p>
        </w:tc>
        <w:tc>
          <w:tcPr>
            <w:tcW w:w="53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37"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p>
        </w:tc>
        <w:tc>
          <w:tcPr>
            <w:tcW w:w="535" w:type="dxa"/>
            <w:tcBorders>
              <w:top w:val="single" w:color="auto" w:sz="4" w:space="0"/>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7"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p>
        </w:tc>
        <w:tc>
          <w:tcPr>
            <w:tcW w:w="535" w:type="dxa"/>
            <w:tcBorders>
              <w:top w:val="nil"/>
              <w:left w:val="nil"/>
              <w:bottom w:val="nil"/>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625" w:type="dxa"/>
            <w:tcBorders>
              <w:top w:val="single" w:color="auto" w:sz="4" w:space="0"/>
              <w:left w:val="nil"/>
              <w:bottom w:val="nil"/>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r>
      <w:tr>
        <w:tblPrEx>
          <w:tblCellMar>
            <w:top w:w="0" w:type="dxa"/>
            <w:left w:w="108" w:type="dxa"/>
            <w:bottom w:w="0" w:type="dxa"/>
            <w:right w:w="108" w:type="dxa"/>
          </w:tblCellMar>
        </w:tblPrEx>
        <w:trPr>
          <w:trHeight w:val="431" w:hRule="atLeast"/>
          <w:jc w:val="center"/>
        </w:trPr>
        <w:tc>
          <w:tcPr>
            <w:tcW w:w="437" w:type="dxa"/>
            <w:vMerge w:val="continue"/>
            <w:tcBorders>
              <w:top w:val="nil"/>
              <w:left w:val="single" w:color="auto" w:sz="4" w:space="0"/>
              <w:bottom w:val="nil"/>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20"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小计</w:t>
            </w:r>
          </w:p>
        </w:tc>
        <w:tc>
          <w:tcPr>
            <w:tcW w:w="637"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仿宋" w:hAnsi="仿宋" w:eastAsia="仿宋" w:cs="仿宋"/>
                <w:sz w:val="21"/>
                <w:szCs w:val="21"/>
                <w:highlight w:val="none"/>
              </w:rPr>
            </w:pPr>
            <w:r>
              <w:rPr>
                <w:rFonts w:hint="eastAsia" w:ascii="仿宋" w:hAnsi="仿宋" w:eastAsia="仿宋" w:cs="仿宋"/>
                <w:color w:val="000000"/>
                <w:kern w:val="0"/>
                <w:sz w:val="22"/>
                <w:highlight w:val="none"/>
                <w:lang w:bidi="ar"/>
              </w:rPr>
              <w:t>504</w:t>
            </w:r>
          </w:p>
        </w:tc>
        <w:tc>
          <w:tcPr>
            <w:tcW w:w="637" w:type="dxa"/>
            <w:tcBorders>
              <w:top w:val="single" w:color="auto" w:sz="4" w:space="0"/>
              <w:left w:val="nil"/>
              <w:bottom w:val="single" w:color="auto" w:sz="4" w:space="0"/>
              <w:right w:val="single" w:color="auto" w:sz="4" w:space="0"/>
            </w:tcBorders>
            <w:vAlign w:val="bottom"/>
          </w:tcPr>
          <w:p>
            <w:pPr>
              <w:widowControl/>
              <w:jc w:val="center"/>
              <w:textAlignment w:val="bottom"/>
              <w:rPr>
                <w:rFonts w:hint="eastAsia" w:ascii="仿宋" w:hAnsi="仿宋" w:eastAsia="仿宋" w:cs="仿宋"/>
                <w:sz w:val="21"/>
                <w:szCs w:val="21"/>
                <w:highlight w:val="none"/>
              </w:rPr>
            </w:pPr>
            <w:r>
              <w:rPr>
                <w:rFonts w:hint="eastAsia" w:ascii="仿宋" w:hAnsi="仿宋" w:eastAsia="仿宋" w:cs="仿宋"/>
                <w:color w:val="000000"/>
                <w:kern w:val="0"/>
                <w:sz w:val="22"/>
                <w:highlight w:val="none"/>
                <w:lang w:bidi="ar"/>
              </w:rPr>
              <w:t>472</w:t>
            </w:r>
          </w:p>
        </w:tc>
        <w:tc>
          <w:tcPr>
            <w:tcW w:w="66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32</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1"/>
                <w:szCs w:val="21"/>
                <w:highlight w:val="none"/>
              </w:rPr>
              <w:t>2</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r>
      <w:tr>
        <w:tblPrEx>
          <w:tblCellMar>
            <w:top w:w="0" w:type="dxa"/>
            <w:left w:w="108" w:type="dxa"/>
            <w:bottom w:w="0" w:type="dxa"/>
            <w:right w:w="108" w:type="dxa"/>
          </w:tblCellMar>
        </w:tblPrEx>
        <w:trPr>
          <w:trHeight w:val="431" w:hRule="atLeast"/>
          <w:jc w:val="center"/>
        </w:trPr>
        <w:tc>
          <w:tcPr>
            <w:tcW w:w="437"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实践教学</w:t>
            </w:r>
          </w:p>
        </w:tc>
        <w:tc>
          <w:tcPr>
            <w:tcW w:w="2120"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军训</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6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2周　</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431"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20"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入学教育</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6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1周</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r>
      <w:tr>
        <w:tblPrEx>
          <w:tblCellMar>
            <w:top w:w="0" w:type="dxa"/>
            <w:left w:w="108" w:type="dxa"/>
            <w:bottom w:w="0" w:type="dxa"/>
            <w:right w:w="108" w:type="dxa"/>
          </w:tblCellMar>
        </w:tblPrEx>
        <w:trPr>
          <w:trHeight w:val="431"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仿宋" w:hAnsi="仿宋" w:eastAsia="仿宋" w:cs="仿宋"/>
                <w:b/>
                <w:bCs/>
                <w:sz w:val="21"/>
                <w:szCs w:val="21"/>
                <w:highlight w:val="none"/>
              </w:rPr>
            </w:pPr>
          </w:p>
        </w:tc>
        <w:tc>
          <w:tcPr>
            <w:tcW w:w="2120" w:type="dxa"/>
            <w:gridSpan w:val="2"/>
            <w:tcBorders>
              <w:top w:val="single" w:color="auto" w:sz="4" w:space="0"/>
              <w:left w:val="nil"/>
              <w:bottom w:val="single" w:color="auto" w:sz="4" w:space="0"/>
              <w:right w:val="single" w:color="000000"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毕业教育</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6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62"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7"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53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　</w:t>
            </w:r>
          </w:p>
        </w:tc>
        <w:tc>
          <w:tcPr>
            <w:tcW w:w="62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r>
              <w:rPr>
                <w:rFonts w:hint="eastAsia" w:ascii="仿宋" w:hAnsi="仿宋" w:eastAsia="仿宋" w:cs="仿宋"/>
                <w:sz w:val="20"/>
                <w:szCs w:val="20"/>
                <w:highlight w:val="none"/>
              </w:rPr>
              <w:t>1周　</w:t>
            </w:r>
          </w:p>
        </w:tc>
      </w:tr>
      <w:tr>
        <w:tblPrEx>
          <w:tblCellMar>
            <w:top w:w="0" w:type="dxa"/>
            <w:left w:w="108" w:type="dxa"/>
            <w:bottom w:w="0" w:type="dxa"/>
            <w:right w:w="108" w:type="dxa"/>
          </w:tblCellMar>
        </w:tblPrEx>
        <w:trPr>
          <w:trHeight w:val="451" w:hRule="atLeast"/>
          <w:jc w:val="center"/>
        </w:trPr>
        <w:tc>
          <w:tcPr>
            <w:tcW w:w="2557" w:type="dxa"/>
            <w:gridSpan w:val="3"/>
            <w:tcBorders>
              <w:top w:val="nil"/>
              <w:left w:val="single" w:color="auto" w:sz="4" w:space="0"/>
              <w:bottom w:val="single" w:color="000000" w:sz="4" w:space="0"/>
              <w:right w:val="single" w:color="000000"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总课时(学分)</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2880</w:t>
            </w:r>
          </w:p>
        </w:tc>
        <w:tc>
          <w:tcPr>
            <w:tcW w:w="63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2614</w:t>
            </w:r>
          </w:p>
        </w:tc>
        <w:tc>
          <w:tcPr>
            <w:tcW w:w="661"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266</w:t>
            </w: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p>
        </w:tc>
        <w:tc>
          <w:tcPr>
            <w:tcW w:w="562"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szCs w:val="20"/>
                <w:highlight w:val="none"/>
              </w:rPr>
            </w:pPr>
          </w:p>
        </w:tc>
        <w:tc>
          <w:tcPr>
            <w:tcW w:w="535"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0"/>
                <w:szCs w:val="20"/>
                <w:highlight w:val="none"/>
              </w:rPr>
              <w:t>28</w:t>
            </w:r>
          </w:p>
        </w:tc>
        <w:tc>
          <w:tcPr>
            <w:tcW w:w="537" w:type="dxa"/>
            <w:tcBorders>
              <w:top w:val="nil"/>
              <w:left w:val="nil"/>
              <w:bottom w:val="single" w:color="auto" w:sz="4" w:space="0"/>
              <w:right w:val="single" w:color="auto" w:sz="4" w:space="0"/>
            </w:tcBorders>
            <w:vAlign w:val="center"/>
          </w:tcPr>
          <w:p>
            <w:pPr>
              <w:jc w:val="center"/>
              <w:rPr>
                <w:rFonts w:hint="eastAsia" w:ascii="仿宋" w:hAnsi="仿宋" w:eastAsia="仿宋" w:cs="仿宋"/>
                <w:b/>
                <w:bCs/>
                <w:sz w:val="21"/>
                <w:szCs w:val="21"/>
                <w:highlight w:val="none"/>
              </w:rPr>
            </w:pPr>
            <w:r>
              <w:rPr>
                <w:rFonts w:hint="eastAsia" w:ascii="仿宋" w:hAnsi="仿宋" w:eastAsia="仿宋" w:cs="仿宋"/>
                <w:sz w:val="20"/>
                <w:szCs w:val="20"/>
                <w:highlight w:val="none"/>
              </w:rPr>
              <w:t>28</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537"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28</w:t>
            </w:r>
          </w:p>
        </w:tc>
        <w:tc>
          <w:tcPr>
            <w:tcW w:w="535" w:type="dxa"/>
            <w:tcBorders>
              <w:top w:val="nil"/>
              <w:left w:val="nil"/>
              <w:bottom w:val="single" w:color="auto" w:sz="4" w:space="0"/>
              <w:right w:val="single" w:color="auto" w:sz="4" w:space="0"/>
            </w:tcBorders>
            <w:shd w:val="clear" w:color="auto" w:fill="FFFFFF"/>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c>
          <w:tcPr>
            <w:tcW w:w="62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36</w:t>
            </w:r>
          </w:p>
        </w:tc>
      </w:tr>
    </w:tbl>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、实施保障</w:t>
      </w:r>
      <w:bookmarkEnd w:id="39"/>
      <w:bookmarkEnd w:id="40"/>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1" w:name="_Toc24110"/>
      <w:bookmarkStart w:id="42" w:name="_Toc21958"/>
      <w:r>
        <w:rPr>
          <w:rFonts w:hint="eastAsia" w:ascii="楷体" w:hAnsi="楷体" w:eastAsia="楷体" w:cs="楷体"/>
          <w:b/>
          <w:bCs/>
          <w:color w:val="000000" w:themeColor="text1"/>
          <w:sz w:val="32"/>
          <w:szCs w:val="32"/>
          <w14:textFill>
            <w14:solidFill>
              <w14:schemeClr w14:val="tx1"/>
            </w14:solidFill>
          </w14:textFill>
        </w:rPr>
        <w:t>（一）师资队伍</w:t>
      </w:r>
      <w:bookmarkEnd w:id="41"/>
      <w:bookmarkEnd w:id="42"/>
    </w:p>
    <w:p>
      <w:pPr>
        <w:spacing w:line="560" w:lineRule="exact"/>
        <w:ind w:firstLine="570"/>
        <w:jc w:val="left"/>
        <w:rPr>
          <w:rFonts w:hint="eastAsia" w:ascii="仿宋" w:hAnsi="仿宋" w:eastAsia="仿宋" w:cs="仿宋"/>
          <w:b/>
          <w:bCs w:val="0"/>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根据专业建设总体目标和人才培养要求，围绕提高师资队伍整体专业水平和执教能力，构建以培养专家型学科带头人为核心，以培养骨干教师队伍为主旨，锻炼青年教师队伍为重点的教师培养机制，通过教师队伍培养和结构调整、形成适应专业发展需要的师资团队。</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3" w:name="_Toc10997"/>
      <w:bookmarkStart w:id="44" w:name="_Toc19530"/>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二</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教学设施</w:t>
      </w:r>
      <w:bookmarkEnd w:id="43"/>
      <w:bookmarkEnd w:id="44"/>
    </w:p>
    <w:p>
      <w:pPr>
        <w:spacing w:line="560" w:lineRule="exact"/>
        <w:ind w:firstLine="570"/>
        <w:jc w:val="left"/>
        <w:outlineLvl w:val="2"/>
        <w:rPr>
          <w:rFonts w:hint="eastAsia" w:ascii="仿宋" w:hAnsi="仿宋" w:eastAsia="仿宋" w:cs="仿宋"/>
          <w:b/>
          <w:bCs w:val="0"/>
          <w:color w:val="000000" w:themeColor="text1"/>
          <w:sz w:val="32"/>
          <w:szCs w:val="32"/>
          <w14:textFill>
            <w14:solidFill>
              <w14:schemeClr w14:val="tx1"/>
            </w14:solidFill>
          </w14:textFill>
        </w:rPr>
      </w:pPr>
      <w:bookmarkStart w:id="45" w:name="_Toc15810"/>
      <w:bookmarkStart w:id="46" w:name="_Toc11797"/>
      <w:r>
        <w:rPr>
          <w:rFonts w:hint="eastAsia" w:ascii="仿宋" w:hAnsi="仿宋" w:eastAsia="仿宋" w:cs="仿宋"/>
          <w:b/>
          <w:bCs w:val="0"/>
          <w:color w:val="000000" w:themeColor="text1"/>
          <w:sz w:val="32"/>
          <w:szCs w:val="32"/>
          <w14:textFill>
            <w14:solidFill>
              <w14:schemeClr w14:val="tx1"/>
            </w14:solidFill>
          </w14:textFill>
        </w:rPr>
        <w:t>1.专业教室基本条件</w:t>
      </w:r>
      <w:bookmarkEnd w:id="45"/>
      <w:bookmarkEnd w:id="46"/>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专业教室一般配备黑(白) 板、多媒体计算机、投影设备、音响设备，互联网接入或WiFi环境，并实施网络安全防护措施</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安装应急照明装置并保持良好状态，符合紧急疏散要求，标志明显，保持逃生通道畅通无阻。</w:t>
      </w:r>
    </w:p>
    <w:p>
      <w:pPr>
        <w:spacing w:line="560" w:lineRule="exact"/>
        <w:ind w:firstLine="570"/>
        <w:jc w:val="left"/>
        <w:outlineLvl w:val="2"/>
        <w:rPr>
          <w:rFonts w:hint="eastAsia" w:ascii="仿宋" w:hAnsi="仿宋" w:eastAsia="仿宋" w:cs="仿宋"/>
          <w:b/>
          <w:bCs w:val="0"/>
          <w:color w:val="000000" w:themeColor="text1"/>
          <w:sz w:val="32"/>
          <w:szCs w:val="32"/>
          <w:highlight w:val="none"/>
          <w14:textFill>
            <w14:solidFill>
              <w14:schemeClr w14:val="tx1"/>
            </w14:solidFill>
          </w14:textFill>
        </w:rPr>
      </w:pPr>
      <w:bookmarkStart w:id="47" w:name="_Toc24523"/>
      <w:bookmarkStart w:id="48" w:name="_Toc26043"/>
      <w:r>
        <w:rPr>
          <w:rFonts w:hint="eastAsia" w:ascii="仿宋" w:hAnsi="仿宋" w:eastAsia="仿宋" w:cs="仿宋"/>
          <w:b/>
          <w:bCs w:val="0"/>
          <w:color w:val="000000" w:themeColor="text1"/>
          <w:sz w:val="32"/>
          <w:szCs w:val="32"/>
          <w:highlight w:val="none"/>
          <w14:textFill>
            <w14:solidFill>
              <w14:schemeClr w14:val="tx1"/>
            </w14:solidFill>
          </w14:textFill>
        </w:rPr>
        <w:t>2.校内实训室基本要求</w:t>
      </w:r>
      <w:bookmarkEnd w:id="47"/>
      <w:bookmarkEnd w:id="48"/>
      <w:r>
        <w:rPr>
          <w:rFonts w:hint="eastAsia" w:ascii="仿宋" w:hAnsi="仿宋" w:eastAsia="仿宋" w:cs="仿宋"/>
          <w:b/>
          <w:bCs w:val="0"/>
          <w:color w:val="000000" w:themeColor="text1"/>
          <w:sz w:val="32"/>
          <w:szCs w:val="32"/>
          <w:highlight w:val="none"/>
          <w14:textFill>
            <w14:solidFill>
              <w14:schemeClr w14:val="tx1"/>
            </w14:solidFill>
          </w14:textFill>
        </w:rPr>
        <w:t xml:space="preserve"> </w:t>
      </w:r>
    </w:p>
    <w:tbl>
      <w:tblPr>
        <w:tblStyle w:val="11"/>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2186"/>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序号</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实训室名称</w:t>
            </w:r>
          </w:p>
        </w:tc>
        <w:tc>
          <w:tcPr>
            <w:tcW w:w="4900"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vertAlign w:val="baseline"/>
                <w:lang w:val="en-US" w:eastAsia="zh-CN"/>
                <w14:textFill>
                  <w14:solidFill>
                    <w14:schemeClr w14:val="tx1"/>
                  </w14:solidFill>
                </w14:textFill>
              </w:rPr>
              <w:t>主要设备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1</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1</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2</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2</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3</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3</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60台电脑、1套多媒体设备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09"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vertAlign w:val="baseline"/>
                <w:lang w:val="en-US" w:eastAsia="zh-CN"/>
                <w14:textFill>
                  <w14:solidFill>
                    <w14:schemeClr w14:val="tx1"/>
                  </w14:solidFill>
                </w14:textFill>
              </w:rPr>
              <w:t>4</w:t>
            </w:r>
          </w:p>
        </w:tc>
        <w:tc>
          <w:tcPr>
            <w:tcW w:w="2186" w:type="dxa"/>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Cs/>
                <w:color w:val="000000" w:themeColor="text1"/>
                <w:kern w:val="2"/>
                <w:sz w:val="24"/>
                <w:szCs w:val="24"/>
                <w:highlight w:val="none"/>
                <w:vertAlign w:val="baseline"/>
                <w:lang w:val="en-US" w:eastAsia="zh-CN" w:bidi="ar-SA"/>
                <w14:textFill>
                  <w14:solidFill>
                    <w14:schemeClr w14:val="tx1"/>
                  </w14:solidFill>
                </w14:textFill>
              </w:rPr>
            </w:pPr>
            <w:r>
              <w:rPr>
                <w:rFonts w:hint="eastAsia" w:ascii="仿宋" w:hAnsi="仿宋" w:eastAsia="仿宋" w:cs="仿宋"/>
                <w:kern w:val="0"/>
                <w:sz w:val="24"/>
                <w:szCs w:val="24"/>
                <w:highlight w:val="none"/>
                <w:lang w:val="en-US" w:eastAsia="zh-CN" w:bidi="ar"/>
              </w:rPr>
              <w:t>计算机</w:t>
            </w:r>
            <w:r>
              <w:rPr>
                <w:rFonts w:hint="eastAsia" w:ascii="仿宋" w:hAnsi="仿宋" w:eastAsia="仿宋" w:cs="仿宋"/>
                <w:kern w:val="0"/>
                <w:sz w:val="24"/>
                <w:szCs w:val="24"/>
                <w:highlight w:val="none"/>
                <w:lang w:bidi="ar"/>
              </w:rPr>
              <w:t>实训室</w:t>
            </w:r>
            <w:r>
              <w:rPr>
                <w:rFonts w:hint="eastAsia" w:ascii="仿宋" w:hAnsi="仿宋" w:eastAsia="仿宋" w:cs="仿宋"/>
                <w:kern w:val="0"/>
                <w:sz w:val="24"/>
                <w:szCs w:val="24"/>
                <w:highlight w:val="none"/>
                <w:lang w:val="en-US" w:eastAsia="zh-CN" w:bidi="ar"/>
              </w:rPr>
              <w:t>4</w:t>
            </w:r>
          </w:p>
        </w:tc>
        <w:tc>
          <w:tcPr>
            <w:tcW w:w="4900"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仿宋" w:hAnsi="仿宋" w:eastAsia="仿宋" w:cs="仿宋"/>
                <w:b/>
                <w:bCs/>
                <w:kern w:val="0"/>
                <w:sz w:val="24"/>
                <w:szCs w:val="24"/>
                <w:lang w:val="en-US" w:eastAsia="zh-CN" w:bidi="ar"/>
              </w:rPr>
            </w:pPr>
            <w:r>
              <w:rPr>
                <w:rFonts w:hint="eastAsia" w:ascii="仿宋" w:hAnsi="仿宋" w:eastAsia="仿宋" w:cs="仿宋"/>
                <w:kern w:val="0"/>
                <w:sz w:val="24"/>
                <w:szCs w:val="24"/>
                <w:lang w:val="en-US" w:eastAsia="zh-CN" w:bidi="ar"/>
              </w:rPr>
              <w:t>50台电脑、1套多媒体设备</w:t>
            </w:r>
            <w:bookmarkStart w:id="59" w:name="_GoBack"/>
            <w:bookmarkEnd w:id="59"/>
          </w:p>
        </w:tc>
      </w:tr>
    </w:tbl>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49" w:name="_Toc26013"/>
      <w:bookmarkStart w:id="50" w:name="_Toc3812"/>
      <w:r>
        <w:rPr>
          <w:rFonts w:hint="eastAsia" w:ascii="楷体" w:hAnsi="楷体" w:eastAsia="楷体" w:cs="楷体"/>
          <w:b/>
          <w:bCs/>
          <w:color w:val="000000" w:themeColor="text1"/>
          <w:sz w:val="32"/>
          <w:szCs w:val="32"/>
          <w14:textFill>
            <w14:solidFill>
              <w14:schemeClr w14:val="tx1"/>
            </w14:solidFill>
          </w14:textFill>
        </w:rPr>
        <w:t>(三) 教学资源</w:t>
      </w:r>
      <w:bookmarkEnd w:id="49"/>
      <w:bookmarkEnd w:id="50"/>
    </w:p>
    <w:tbl>
      <w:tblPr>
        <w:tblStyle w:val="10"/>
        <w:tblW w:w="84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2"/>
        <w:gridCol w:w="2031"/>
        <w:gridCol w:w="1767"/>
        <w:gridCol w:w="1009"/>
        <w:gridCol w:w="919"/>
        <w:gridCol w:w="1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课程名称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教材名称</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教材作者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版本号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ISBN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sz w:val="20"/>
                <w:szCs w:val="20"/>
                <w:u w:val="none"/>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英语练习册基础模块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英语教师用书基础模块 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英语基础模块1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9787040563344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高中语文</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天津市春季高考中职毕业生复习指导教材 语文</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计算机应用与逻辑</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天津市春季高考升学考试复习指导.工程技术类</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苏懿琳</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语文出版社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9787518714384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高中英语</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天津市春季高考 中职毕业生复习指导教材 英语</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天津市春季招生考试研究组</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天津人民出版社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第2版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9787201178578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数学学习指导与练习（基础模块）上册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数学拓展模块一 (上册)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9787040584783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数学教学参考书（拓展模块一）上册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9787040590814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高中数学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数学基础模块（上册）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高等教育出版社 教材发展研究所 组编</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Style w:val="29"/>
                <w:rFonts w:hint="eastAsia" w:ascii="仿宋" w:hAnsi="仿宋" w:eastAsia="仿宋" w:cs="仿宋"/>
                <w:lang w:val="en-US" w:eastAsia="zh-CN" w:bidi="ar"/>
              </w:rPr>
              <w:t>信息技术（基础模块）（下册）</w:t>
            </w:r>
            <w:r>
              <w:rPr>
                <w:rFonts w:hint="eastAsia" w:ascii="仿宋" w:hAnsi="仿宋" w:eastAsia="仿宋" w:cs="仿宋"/>
                <w:i w:val="0"/>
                <w:iCs w:val="0"/>
                <w:color w:val="000000"/>
                <w:kern w:val="0"/>
                <w:sz w:val="20"/>
                <w:szCs w:val="20"/>
                <w:u w:val="none"/>
                <w:lang w:val="en-US" w:eastAsia="zh-CN" w:bidi="ar"/>
              </w:rPr>
              <w:t>[</w:t>
            </w:r>
            <w:r>
              <w:rPr>
                <w:rStyle w:val="29"/>
                <w:rFonts w:hint="eastAsia" w:ascii="仿宋" w:hAnsi="仿宋" w:eastAsia="仿宋" w:cs="仿宋"/>
                <w:lang w:val="en-US" w:eastAsia="zh-CN" w:bidi="ar"/>
              </w:rPr>
              <w:t>彩色</w:t>
            </w:r>
            <w:r>
              <w:rPr>
                <w:rFonts w:hint="eastAsia" w:ascii="仿宋" w:hAnsi="仿宋" w:eastAsia="仿宋" w:cs="仿宋"/>
                <w:i w:val="0"/>
                <w:iCs w:val="0"/>
                <w:color w:val="000000"/>
                <w:kern w:val="0"/>
                <w:sz w:val="20"/>
                <w:szCs w:val="20"/>
                <w:u w:val="none"/>
                <w:lang w:val="en-US" w:eastAsia="zh-CN" w:bidi="ar"/>
              </w:rPr>
              <w:t>]</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信息技术（基础模块）（上册）</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徐维祥</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体育与健康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李金梅</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w w:val="90"/>
                <w:kern w:val="0"/>
                <w:sz w:val="20"/>
                <w:szCs w:val="20"/>
                <w:u w:val="none"/>
                <w:lang w:val="en-US" w:eastAsia="zh-CN" w:bidi="ar"/>
              </w:rPr>
            </w:pPr>
            <w:r>
              <w:rPr>
                <w:rFonts w:hint="eastAsia" w:ascii="仿宋" w:hAnsi="仿宋" w:eastAsia="仿宋" w:cs="仿宋"/>
                <w:i w:val="0"/>
                <w:iCs w:val="0"/>
                <w:color w:val="000000"/>
                <w:w w:val="90"/>
                <w:kern w:val="0"/>
                <w:sz w:val="20"/>
                <w:szCs w:val="20"/>
                <w:u w:val="none"/>
                <w:lang w:val="en-US" w:eastAsia="zh-CN" w:bidi="ar"/>
              </w:rPr>
              <w:t>高等教育出版社</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第1版</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9787040562736</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bottom"/>
        <w:rPr>
          <w:rFonts w:hint="eastAsia" w:ascii="仿宋" w:hAnsi="仿宋" w:eastAsia="仿宋" w:cs="仿宋"/>
          <w:bCs/>
          <w:color w:val="000000" w:themeColor="text1"/>
          <w:sz w:val="32"/>
          <w:szCs w:val="32"/>
          <w14:textFill>
            <w14:solidFill>
              <w14:schemeClr w14:val="tx1"/>
            </w14:solidFill>
          </w14:textFill>
        </w:rPr>
      </w:pP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1" w:name="_Toc10990"/>
      <w:bookmarkStart w:id="52" w:name="_Toc19869"/>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四</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教学方法</w:t>
      </w:r>
      <w:bookmarkEnd w:id="51"/>
      <w:bookmarkEnd w:id="52"/>
    </w:p>
    <w:p>
      <w:pPr>
        <w:spacing w:line="560" w:lineRule="exact"/>
        <w:ind w:firstLine="570"/>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spacing w:val="-8"/>
          <w:sz w:val="32"/>
          <w:szCs w:val="32"/>
        </w:rPr>
        <w:t>因材施教、因需施教，鼓励创新教学方法和策略，采用案例教学</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项目教学等方法，坚持学中做、做中学，以达成预期教学目标。</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3" w:name="_Toc19123"/>
      <w:bookmarkStart w:id="54" w:name="_Toc12900"/>
      <w:r>
        <w:rPr>
          <w:rFonts w:hint="eastAsia" w:ascii="楷体" w:hAnsi="楷体" w:eastAsia="楷体" w:cs="楷体"/>
          <w:b/>
          <w:bCs/>
          <w:color w:val="000000" w:themeColor="text1"/>
          <w:sz w:val="32"/>
          <w:szCs w:val="32"/>
          <w14:textFill>
            <w14:solidFill>
              <w14:schemeClr w14:val="tx1"/>
            </w14:solidFill>
          </w14:textFill>
        </w:rPr>
        <w:t>（五）学习评价</w:t>
      </w:r>
      <w:bookmarkEnd w:id="53"/>
      <w:bookmarkEnd w:id="54"/>
    </w:p>
    <w:p>
      <w:pPr>
        <w:spacing w:line="560" w:lineRule="exact"/>
        <w:ind w:firstLine="570"/>
        <w:jc w:val="left"/>
        <w:outlineLvl w:val="2"/>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每学期末通过学校教师综合考核对教师教学进行评价,课程依据学生课堂参与、阶段性检测、日常学习情况、期末考试成绩对学生进行认知、技能、情感等方面的综合评价</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计算机类专业基础课程</w:t>
      </w:r>
      <w:r>
        <w:rPr>
          <w:rFonts w:hint="eastAsia" w:ascii="仿宋" w:hAnsi="仿宋" w:eastAsia="仿宋" w:cs="仿宋"/>
          <w:bCs/>
          <w:color w:val="000000" w:themeColor="text1"/>
          <w:sz w:val="32"/>
          <w:szCs w:val="32"/>
          <w:lang w:val="en-US" w:eastAsia="zh-CN"/>
          <w14:textFill>
            <w14:solidFill>
              <w14:schemeClr w14:val="tx1"/>
            </w14:solidFill>
          </w14:textFill>
        </w:rPr>
        <w:t>也可以采用</w:t>
      </w:r>
      <w:r>
        <w:rPr>
          <w:rFonts w:hint="eastAsia" w:ascii="仿宋" w:hAnsi="仿宋" w:eastAsia="仿宋" w:cs="仿宋"/>
          <w:bCs/>
          <w:color w:val="000000" w:themeColor="text1"/>
          <w:sz w:val="32"/>
          <w:szCs w:val="32"/>
          <w14:textFill>
            <w14:solidFill>
              <w14:schemeClr w14:val="tx1"/>
            </w14:solidFill>
          </w14:textFill>
        </w:rPr>
        <w:t>职业资格鉴定方式进行评价。</w:t>
      </w:r>
    </w:p>
    <w:p>
      <w:pPr>
        <w:spacing w:line="560" w:lineRule="exact"/>
        <w:ind w:firstLine="643" w:firstLineChars="200"/>
        <w:jc w:val="left"/>
        <w:outlineLvl w:val="1"/>
        <w:rPr>
          <w:rFonts w:hint="eastAsia" w:ascii="楷体" w:hAnsi="楷体" w:eastAsia="楷体" w:cs="楷体"/>
          <w:b/>
          <w:bCs/>
          <w:color w:val="000000" w:themeColor="text1"/>
          <w:sz w:val="32"/>
          <w:szCs w:val="32"/>
          <w14:textFill>
            <w14:solidFill>
              <w14:schemeClr w14:val="tx1"/>
            </w14:solidFill>
          </w14:textFill>
        </w:rPr>
      </w:pPr>
      <w:bookmarkStart w:id="55" w:name="_Toc1217"/>
      <w:bookmarkStart w:id="56" w:name="_Toc1117"/>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六</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质量管理</w:t>
      </w:r>
      <w:bookmarkEnd w:id="55"/>
      <w:bookmarkEnd w:id="56"/>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1.搭建人才培养质量保障体系</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专业人才培养质量保证体系建立基于学校体系框架，以专业建设为统领，以人才培养为主线，引入标准，设计内部质保体系。理顺工作流程，明确工作职责，通过体系建设和任务分工明确部门、人员在专业建设质量保障体系中的职责，做到“三全”覆盖。</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2.建立人才培养方案动态调整机制</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以人才培养目标为起点，按照 “目标一标准一设计一组织一实施一诊断一激励一学习一创新一改进”形成质量改进大循环,按照“监控一预警一改进”实时监控人才培养状态，形成质量诊改小循环，大、小循环同时作用形成“8字”专业质量改进螺旋。明确“一年小螺旋三年大螺旋”的诊改周期，通过数据采集平台掌握专业建设、专业发展与人才培养状况，及时发布预警、动态进行人才培养方案的调整基于“8字”质量改进螺旋，构建完善的专业建设制度体系和标准体系，为专业人才培养方案的有效实施提供基础保障</w:t>
      </w:r>
    </w:p>
    <w:p>
      <w:pPr>
        <w:spacing w:line="560" w:lineRule="exact"/>
        <w:ind w:firstLine="627" w:firstLineChars="196"/>
        <w:jc w:val="left"/>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3.信息化管理模式运用</w:t>
      </w:r>
    </w:p>
    <w:p>
      <w:pPr>
        <w:spacing w:line="560" w:lineRule="exact"/>
        <w:ind w:firstLine="627" w:firstLineChars="196"/>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lang w:val="en-US" w:eastAsia="zh-CN"/>
          <w14:textFill>
            <w14:solidFill>
              <w14:schemeClr w14:val="tx1"/>
            </w14:solidFill>
          </w14:textFill>
        </w:rPr>
        <w:t>为了更好的实施专业建设和人才培养，搭建覆盖教学运行、管理质量分析全过程的信息化管理平台。将人才培养方案、教学计划、课程标准、授课计划植入平台，利用平台的信息化功能监控人才培养方案的落实、教学计划执行、教学过程的实施、成绩管理。实现实时的人才培养过程检查、评价、反馈和调节，持续提高教育教学质量。</w:t>
      </w:r>
    </w:p>
    <w:p>
      <w:pPr>
        <w:spacing w:line="560" w:lineRule="exact"/>
        <w:ind w:firstLine="640" w:firstLineChars="200"/>
        <w:jc w:val="left"/>
        <w:outlineLvl w:val="0"/>
        <w:rPr>
          <w:rFonts w:ascii="黑体" w:hAnsi="黑体" w:eastAsia="黑体" w:cs="黑体"/>
          <w:color w:val="000000" w:themeColor="text1"/>
          <w:sz w:val="32"/>
          <w:szCs w:val="32"/>
          <w14:textFill>
            <w14:solidFill>
              <w14:schemeClr w14:val="tx1"/>
            </w14:solidFill>
          </w14:textFill>
        </w:rPr>
      </w:pPr>
      <w:bookmarkStart w:id="57" w:name="_Toc3516"/>
      <w:bookmarkStart w:id="58" w:name="_Toc7004"/>
      <w:r>
        <w:rPr>
          <w:rFonts w:hint="eastAsia" w:ascii="黑体" w:hAnsi="黑体" w:eastAsia="黑体" w:cs="黑体"/>
          <w:color w:val="000000" w:themeColor="text1"/>
          <w:sz w:val="32"/>
          <w:szCs w:val="32"/>
          <w:lang w:val="en-US" w:eastAsia="zh-CN"/>
          <w14:textFill>
            <w14:solidFill>
              <w14:schemeClr w14:val="tx1"/>
            </w14:solidFill>
          </w14:textFill>
        </w:rPr>
        <w:t>十</w:t>
      </w:r>
      <w:r>
        <w:rPr>
          <w:rFonts w:hint="eastAsia" w:ascii="黑体" w:hAnsi="黑体" w:eastAsia="黑体" w:cs="黑体"/>
          <w:color w:val="000000" w:themeColor="text1"/>
          <w:sz w:val="32"/>
          <w:szCs w:val="32"/>
          <w14:textFill>
            <w14:solidFill>
              <w14:schemeClr w14:val="tx1"/>
            </w14:solidFill>
          </w14:textFill>
        </w:rPr>
        <w:t>、毕业要求</w:t>
      </w:r>
      <w:bookmarkEnd w:id="57"/>
      <w:bookmarkEnd w:id="58"/>
    </w:p>
    <w:p>
      <w:pPr>
        <w:spacing w:line="560" w:lineRule="exact"/>
        <w:ind w:firstLine="627" w:firstLineChars="196"/>
        <w:jc w:val="left"/>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学生修完本专业人才培养方案所规定的课程并成绩合格，达到本专业人才培养目标和培养规格的要求方可毕业。</w:t>
      </w:r>
    </w:p>
    <w:p/>
    <w:sectPr>
      <w:headerReference r:id="rId3" w:type="default"/>
      <w:footerReference r:id="rId4" w:type="default"/>
      <w:pgSz w:w="11906" w:h="16838"/>
      <w:pgMar w:top="1417" w:right="1587" w:bottom="1417" w:left="1587"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73418D-4786-4577-9B92-74EFB0910B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F8EA6A65-EC3B-4841-9CAB-7F9F37710292}"/>
  </w:font>
  <w:font w:name="方正小标宋简体">
    <w:panose1 w:val="02000000000000000000"/>
    <w:charset w:val="86"/>
    <w:family w:val="auto"/>
    <w:pitch w:val="default"/>
    <w:sig w:usb0="00000001" w:usb1="08000000" w:usb2="00000000" w:usb3="00000000" w:csb0="00040000" w:csb1="00000000"/>
    <w:embedRegular r:id="rId3" w:fontKey="{709072B9-2EF0-435E-9277-C2859AF6A660}"/>
  </w:font>
  <w:font w:name="楷体">
    <w:panose1 w:val="02010609060101010101"/>
    <w:charset w:val="86"/>
    <w:family w:val="modern"/>
    <w:pitch w:val="default"/>
    <w:sig w:usb0="800002BF" w:usb1="38CF7CFA" w:usb2="00000016" w:usb3="00000000" w:csb0="00040001" w:csb1="00000000"/>
    <w:embedRegular r:id="rId4" w:fontKey="{18AB5847-C118-4F51-BFE1-E0EBD68F5D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val="en-US" w:eastAsia="zh-CN"/>
      </w:rPr>
    </w:pPr>
    <w:r>
      <w:rPr>
        <w:rFonts w:hint="eastAsia"/>
        <w:lang w:val="en-US" w:eastAsia="zh-CN"/>
      </w:rPr>
      <w:t xml:space="preserve">                                                                             石家庄财经商贸学校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0C7C2"/>
    <w:multiLevelType w:val="singleLevel"/>
    <w:tmpl w:val="2210C7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ZWM5YTNhOTBkZDJjYmU0OTE3YTEwOTUyMGU5OTQifQ=="/>
  </w:docVars>
  <w:rsids>
    <w:rsidRoot w:val="00100210"/>
    <w:rsid w:val="00032DC5"/>
    <w:rsid w:val="000369AA"/>
    <w:rsid w:val="0004303D"/>
    <w:rsid w:val="000443CC"/>
    <w:rsid w:val="000740BA"/>
    <w:rsid w:val="00096DF9"/>
    <w:rsid w:val="000C7954"/>
    <w:rsid w:val="000D1E49"/>
    <w:rsid w:val="000F4823"/>
    <w:rsid w:val="00100210"/>
    <w:rsid w:val="00106D80"/>
    <w:rsid w:val="00111F72"/>
    <w:rsid w:val="001240F0"/>
    <w:rsid w:val="00144E6F"/>
    <w:rsid w:val="001674D1"/>
    <w:rsid w:val="00173ADE"/>
    <w:rsid w:val="00185A5E"/>
    <w:rsid w:val="001C1D7A"/>
    <w:rsid w:val="001D31EC"/>
    <w:rsid w:val="00205BDC"/>
    <w:rsid w:val="00215842"/>
    <w:rsid w:val="00256AE1"/>
    <w:rsid w:val="002642B5"/>
    <w:rsid w:val="00270247"/>
    <w:rsid w:val="002C076B"/>
    <w:rsid w:val="002C2950"/>
    <w:rsid w:val="002C70FB"/>
    <w:rsid w:val="002D3BD5"/>
    <w:rsid w:val="002E547F"/>
    <w:rsid w:val="00303F21"/>
    <w:rsid w:val="00310D19"/>
    <w:rsid w:val="0034209D"/>
    <w:rsid w:val="0039446D"/>
    <w:rsid w:val="003974EC"/>
    <w:rsid w:val="003B19CD"/>
    <w:rsid w:val="003B5247"/>
    <w:rsid w:val="003E1855"/>
    <w:rsid w:val="003F30B1"/>
    <w:rsid w:val="003F34B1"/>
    <w:rsid w:val="003F70AE"/>
    <w:rsid w:val="00406E2C"/>
    <w:rsid w:val="004131A4"/>
    <w:rsid w:val="00427B89"/>
    <w:rsid w:val="00437874"/>
    <w:rsid w:val="00441685"/>
    <w:rsid w:val="00444061"/>
    <w:rsid w:val="00455438"/>
    <w:rsid w:val="00473DA8"/>
    <w:rsid w:val="004A081E"/>
    <w:rsid w:val="004A3F01"/>
    <w:rsid w:val="004A7F00"/>
    <w:rsid w:val="004C454F"/>
    <w:rsid w:val="004D55CA"/>
    <w:rsid w:val="004E015D"/>
    <w:rsid w:val="00503079"/>
    <w:rsid w:val="00514ED8"/>
    <w:rsid w:val="00571BAF"/>
    <w:rsid w:val="00581B78"/>
    <w:rsid w:val="005C1BFE"/>
    <w:rsid w:val="005E126F"/>
    <w:rsid w:val="005F298D"/>
    <w:rsid w:val="006076CB"/>
    <w:rsid w:val="006408F8"/>
    <w:rsid w:val="00656CD9"/>
    <w:rsid w:val="00691C72"/>
    <w:rsid w:val="006C416F"/>
    <w:rsid w:val="006D122A"/>
    <w:rsid w:val="006E156C"/>
    <w:rsid w:val="00713B81"/>
    <w:rsid w:val="00732C4A"/>
    <w:rsid w:val="00747A59"/>
    <w:rsid w:val="007D7997"/>
    <w:rsid w:val="008415F4"/>
    <w:rsid w:val="00844648"/>
    <w:rsid w:val="008533CE"/>
    <w:rsid w:val="008614D6"/>
    <w:rsid w:val="008A7114"/>
    <w:rsid w:val="008B6DA4"/>
    <w:rsid w:val="00902908"/>
    <w:rsid w:val="00923E5A"/>
    <w:rsid w:val="009263BB"/>
    <w:rsid w:val="009542C2"/>
    <w:rsid w:val="009576D7"/>
    <w:rsid w:val="0096046B"/>
    <w:rsid w:val="009960D3"/>
    <w:rsid w:val="009C1ADD"/>
    <w:rsid w:val="009C70B9"/>
    <w:rsid w:val="009D52C9"/>
    <w:rsid w:val="00A3043A"/>
    <w:rsid w:val="00A445C7"/>
    <w:rsid w:val="00A822D0"/>
    <w:rsid w:val="00AF42AE"/>
    <w:rsid w:val="00B0289B"/>
    <w:rsid w:val="00B06BF2"/>
    <w:rsid w:val="00B17230"/>
    <w:rsid w:val="00B42E5E"/>
    <w:rsid w:val="00B5098A"/>
    <w:rsid w:val="00B52B47"/>
    <w:rsid w:val="00B9046B"/>
    <w:rsid w:val="00BD39B1"/>
    <w:rsid w:val="00C46046"/>
    <w:rsid w:val="00CB280F"/>
    <w:rsid w:val="00CC065A"/>
    <w:rsid w:val="00D014E2"/>
    <w:rsid w:val="00D22EBC"/>
    <w:rsid w:val="00D32F62"/>
    <w:rsid w:val="00D37ABB"/>
    <w:rsid w:val="00D42C04"/>
    <w:rsid w:val="00D4309A"/>
    <w:rsid w:val="00D72799"/>
    <w:rsid w:val="00D93BBC"/>
    <w:rsid w:val="00DC496D"/>
    <w:rsid w:val="00DC5BD6"/>
    <w:rsid w:val="00DE36EA"/>
    <w:rsid w:val="00DE677C"/>
    <w:rsid w:val="00DF6AB5"/>
    <w:rsid w:val="00DF6C02"/>
    <w:rsid w:val="00E02047"/>
    <w:rsid w:val="00E052B8"/>
    <w:rsid w:val="00E26D88"/>
    <w:rsid w:val="00E47D09"/>
    <w:rsid w:val="00E84F4E"/>
    <w:rsid w:val="00E96D3A"/>
    <w:rsid w:val="00EC2BBA"/>
    <w:rsid w:val="00ED6820"/>
    <w:rsid w:val="00EF0F8C"/>
    <w:rsid w:val="00F444E1"/>
    <w:rsid w:val="00F82C0E"/>
    <w:rsid w:val="00F87C0A"/>
    <w:rsid w:val="00F9175A"/>
    <w:rsid w:val="00F93ED3"/>
    <w:rsid w:val="00FA6E2C"/>
    <w:rsid w:val="00FB6A8C"/>
    <w:rsid w:val="00FD78B9"/>
    <w:rsid w:val="00FE7A39"/>
    <w:rsid w:val="0123324D"/>
    <w:rsid w:val="02D85EB2"/>
    <w:rsid w:val="02EA5917"/>
    <w:rsid w:val="04D81AB7"/>
    <w:rsid w:val="05373B10"/>
    <w:rsid w:val="063E0A32"/>
    <w:rsid w:val="069846F5"/>
    <w:rsid w:val="06E16A66"/>
    <w:rsid w:val="088C4D6A"/>
    <w:rsid w:val="08E94A39"/>
    <w:rsid w:val="091C32AD"/>
    <w:rsid w:val="09467B5D"/>
    <w:rsid w:val="0B430809"/>
    <w:rsid w:val="0B811AED"/>
    <w:rsid w:val="0CD65AC1"/>
    <w:rsid w:val="0CDD0FA5"/>
    <w:rsid w:val="0DB0362D"/>
    <w:rsid w:val="0DF447F8"/>
    <w:rsid w:val="0E160667"/>
    <w:rsid w:val="0E625BB2"/>
    <w:rsid w:val="0EC51CF1"/>
    <w:rsid w:val="0ECB5B6B"/>
    <w:rsid w:val="0F247153"/>
    <w:rsid w:val="0F5B4751"/>
    <w:rsid w:val="102313C5"/>
    <w:rsid w:val="102B5D95"/>
    <w:rsid w:val="10572E1C"/>
    <w:rsid w:val="11A35B3D"/>
    <w:rsid w:val="12C14EC5"/>
    <w:rsid w:val="12FE508A"/>
    <w:rsid w:val="136B7DBC"/>
    <w:rsid w:val="138D6DEC"/>
    <w:rsid w:val="13A4337D"/>
    <w:rsid w:val="149D23A8"/>
    <w:rsid w:val="14D06118"/>
    <w:rsid w:val="151A1B54"/>
    <w:rsid w:val="15B55F3F"/>
    <w:rsid w:val="1623663A"/>
    <w:rsid w:val="164C76BB"/>
    <w:rsid w:val="180B23B7"/>
    <w:rsid w:val="182F1870"/>
    <w:rsid w:val="183B566C"/>
    <w:rsid w:val="198151FF"/>
    <w:rsid w:val="19AE45A5"/>
    <w:rsid w:val="1A1A0373"/>
    <w:rsid w:val="1A255D39"/>
    <w:rsid w:val="1A8C42F1"/>
    <w:rsid w:val="1B0B196C"/>
    <w:rsid w:val="1B6F1962"/>
    <w:rsid w:val="1D2D5EFB"/>
    <w:rsid w:val="1DB64619"/>
    <w:rsid w:val="1DDF63ED"/>
    <w:rsid w:val="1DE0292B"/>
    <w:rsid w:val="1E472722"/>
    <w:rsid w:val="1FD06747"/>
    <w:rsid w:val="21A41C3A"/>
    <w:rsid w:val="220D77DF"/>
    <w:rsid w:val="22DB371C"/>
    <w:rsid w:val="22F60DF3"/>
    <w:rsid w:val="23024E6A"/>
    <w:rsid w:val="230706D2"/>
    <w:rsid w:val="23B71BC2"/>
    <w:rsid w:val="24092228"/>
    <w:rsid w:val="24CC572F"/>
    <w:rsid w:val="256E6505"/>
    <w:rsid w:val="257858B7"/>
    <w:rsid w:val="25A45392"/>
    <w:rsid w:val="25AB7A3A"/>
    <w:rsid w:val="26993D37"/>
    <w:rsid w:val="26B81385"/>
    <w:rsid w:val="276D3C0B"/>
    <w:rsid w:val="295E48AC"/>
    <w:rsid w:val="2B373B1E"/>
    <w:rsid w:val="2B3C2EE3"/>
    <w:rsid w:val="2B4071BA"/>
    <w:rsid w:val="2C205860"/>
    <w:rsid w:val="2CD21D51"/>
    <w:rsid w:val="2CD535EF"/>
    <w:rsid w:val="2D0A5F7B"/>
    <w:rsid w:val="2E1D31F2"/>
    <w:rsid w:val="2E54303D"/>
    <w:rsid w:val="2E9D638E"/>
    <w:rsid w:val="2F204FF5"/>
    <w:rsid w:val="2F997C91"/>
    <w:rsid w:val="2FF6078B"/>
    <w:rsid w:val="2FF63037"/>
    <w:rsid w:val="30516BD9"/>
    <w:rsid w:val="3130246D"/>
    <w:rsid w:val="326C2300"/>
    <w:rsid w:val="329545AB"/>
    <w:rsid w:val="32B141B6"/>
    <w:rsid w:val="331A6441"/>
    <w:rsid w:val="332847BE"/>
    <w:rsid w:val="33BE724F"/>
    <w:rsid w:val="33E02FA5"/>
    <w:rsid w:val="347B4A7C"/>
    <w:rsid w:val="355F7A83"/>
    <w:rsid w:val="377A101B"/>
    <w:rsid w:val="37E1109A"/>
    <w:rsid w:val="3A2F7418"/>
    <w:rsid w:val="3ADF74BC"/>
    <w:rsid w:val="3B1479D8"/>
    <w:rsid w:val="3B787F67"/>
    <w:rsid w:val="3B914B85"/>
    <w:rsid w:val="3CF63FED"/>
    <w:rsid w:val="3D22254D"/>
    <w:rsid w:val="3D4E2867"/>
    <w:rsid w:val="3DF15DAF"/>
    <w:rsid w:val="3E24645A"/>
    <w:rsid w:val="3EDE6333"/>
    <w:rsid w:val="3F0A7128"/>
    <w:rsid w:val="3F4462B2"/>
    <w:rsid w:val="3F921404"/>
    <w:rsid w:val="40082ACD"/>
    <w:rsid w:val="40752BD5"/>
    <w:rsid w:val="40EC7E53"/>
    <w:rsid w:val="41585FD8"/>
    <w:rsid w:val="42DE25ED"/>
    <w:rsid w:val="434B5C74"/>
    <w:rsid w:val="43903FD4"/>
    <w:rsid w:val="44016286"/>
    <w:rsid w:val="446C43E1"/>
    <w:rsid w:val="448E07FB"/>
    <w:rsid w:val="449E32F9"/>
    <w:rsid w:val="44DA4F9C"/>
    <w:rsid w:val="456E55CE"/>
    <w:rsid w:val="45B1409B"/>
    <w:rsid w:val="45F428E0"/>
    <w:rsid w:val="46136855"/>
    <w:rsid w:val="47461A98"/>
    <w:rsid w:val="47503B46"/>
    <w:rsid w:val="47954D07"/>
    <w:rsid w:val="48707C11"/>
    <w:rsid w:val="49415E3C"/>
    <w:rsid w:val="49423F82"/>
    <w:rsid w:val="49F16E16"/>
    <w:rsid w:val="4A833B86"/>
    <w:rsid w:val="4B7B0E38"/>
    <w:rsid w:val="4C3929FC"/>
    <w:rsid w:val="4C8F331D"/>
    <w:rsid w:val="4E2207FC"/>
    <w:rsid w:val="4F4E660B"/>
    <w:rsid w:val="4FC703DF"/>
    <w:rsid w:val="4FD55530"/>
    <w:rsid w:val="508E59BA"/>
    <w:rsid w:val="519D0D07"/>
    <w:rsid w:val="51CC64BF"/>
    <w:rsid w:val="527B242C"/>
    <w:rsid w:val="540930BB"/>
    <w:rsid w:val="546E7D01"/>
    <w:rsid w:val="553A466A"/>
    <w:rsid w:val="55857A6A"/>
    <w:rsid w:val="56EA5E07"/>
    <w:rsid w:val="57914433"/>
    <w:rsid w:val="581F37ED"/>
    <w:rsid w:val="58353010"/>
    <w:rsid w:val="58477283"/>
    <w:rsid w:val="5898000A"/>
    <w:rsid w:val="5AF44BD5"/>
    <w:rsid w:val="5B467F48"/>
    <w:rsid w:val="5D69746A"/>
    <w:rsid w:val="5D6D6DA8"/>
    <w:rsid w:val="5DAF14DB"/>
    <w:rsid w:val="608A7C71"/>
    <w:rsid w:val="61D55BA9"/>
    <w:rsid w:val="61E230C5"/>
    <w:rsid w:val="622928C7"/>
    <w:rsid w:val="64BC23C3"/>
    <w:rsid w:val="658F7382"/>
    <w:rsid w:val="667E1760"/>
    <w:rsid w:val="671E6944"/>
    <w:rsid w:val="676A3190"/>
    <w:rsid w:val="6A0C333F"/>
    <w:rsid w:val="6ACF5FB6"/>
    <w:rsid w:val="6BB40184"/>
    <w:rsid w:val="6BD61FBC"/>
    <w:rsid w:val="6CE150BD"/>
    <w:rsid w:val="6EA35E84"/>
    <w:rsid w:val="6F23306A"/>
    <w:rsid w:val="70A1528F"/>
    <w:rsid w:val="70FC60D0"/>
    <w:rsid w:val="713C2FB5"/>
    <w:rsid w:val="71DB6FD3"/>
    <w:rsid w:val="71E415DB"/>
    <w:rsid w:val="71F31B1A"/>
    <w:rsid w:val="7229553C"/>
    <w:rsid w:val="72A02B79"/>
    <w:rsid w:val="73C3376E"/>
    <w:rsid w:val="73F25315"/>
    <w:rsid w:val="74196E47"/>
    <w:rsid w:val="744A61C6"/>
    <w:rsid w:val="74685495"/>
    <w:rsid w:val="75EA4FE2"/>
    <w:rsid w:val="76003C61"/>
    <w:rsid w:val="76296BDC"/>
    <w:rsid w:val="76524935"/>
    <w:rsid w:val="766D277C"/>
    <w:rsid w:val="76726D86"/>
    <w:rsid w:val="773F3B6C"/>
    <w:rsid w:val="77660A29"/>
    <w:rsid w:val="77A12513"/>
    <w:rsid w:val="794F076B"/>
    <w:rsid w:val="79541036"/>
    <w:rsid w:val="79E8523D"/>
    <w:rsid w:val="7B5829EE"/>
    <w:rsid w:val="7B95779E"/>
    <w:rsid w:val="7BF0749C"/>
    <w:rsid w:val="7CCB794F"/>
    <w:rsid w:val="7D225EC3"/>
    <w:rsid w:val="7D76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ind w:left="758" w:right="765"/>
      <w:outlineLvl w:val="0"/>
    </w:pPr>
    <w:rPr>
      <w:rFonts w:ascii="宋体" w:hAnsi="宋体" w:cs="宋体"/>
      <w:sz w:val="44"/>
      <w:szCs w:val="44"/>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toc 3"/>
    <w:basedOn w:val="1"/>
    <w:next w:val="1"/>
    <w:semiHidden/>
    <w:unhideWhenUsed/>
    <w:qFormat/>
    <w:uiPriority w:val="39"/>
    <w:pPr>
      <w:ind w:left="840" w:leftChars="4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character" w:customStyle="1" w:styleId="15">
    <w:name w:val="页眉 字符"/>
    <w:basedOn w:val="12"/>
    <w:link w:val="7"/>
    <w:qFormat/>
    <w:uiPriority w:val="99"/>
    <w:rPr>
      <w:rFonts w:ascii="Calibri" w:hAnsi="Calibri" w:eastAsia="宋体" w:cs="Times New Roman"/>
      <w:sz w:val="18"/>
      <w:szCs w:val="18"/>
    </w:rPr>
  </w:style>
  <w:style w:type="character" w:customStyle="1" w:styleId="16">
    <w:name w:val="页脚 字符"/>
    <w:basedOn w:val="12"/>
    <w:link w:val="6"/>
    <w:qFormat/>
    <w:uiPriority w:val="99"/>
    <w:rPr>
      <w:rFonts w:ascii="Calibri" w:hAnsi="Calibri" w:eastAsia="宋体" w:cs="Times New Roman"/>
      <w:sz w:val="18"/>
      <w:szCs w:val="18"/>
    </w:rPr>
  </w:style>
  <w:style w:type="character" w:customStyle="1" w:styleId="17">
    <w:name w:val="批注框文本 字符"/>
    <w:basedOn w:val="12"/>
    <w:link w:val="5"/>
    <w:semiHidden/>
    <w:qFormat/>
    <w:uiPriority w:val="99"/>
    <w:rPr>
      <w:rFonts w:ascii="Calibri" w:hAnsi="Calibri" w:eastAsia="宋体" w:cs="Times New Roman"/>
      <w:sz w:val="18"/>
      <w:szCs w:val="18"/>
    </w:rPr>
  </w:style>
  <w:style w:type="paragraph" w:customStyle="1" w:styleId="18">
    <w:name w:val="b"/>
    <w:basedOn w:val="1"/>
    <w:qFormat/>
    <w:uiPriority w:val="0"/>
    <w:pPr>
      <w:spacing w:line="360" w:lineRule="auto"/>
      <w:ind w:firstLine="200" w:firstLineChars="200"/>
    </w:pPr>
    <w:rPr>
      <w:rFonts w:ascii="Times New Roman" w:hAnsi="Times New Roman" w:eastAsia="华文行楷"/>
      <w:szCs w:val="24"/>
    </w:rPr>
  </w:style>
  <w:style w:type="character" w:customStyle="1" w:styleId="19">
    <w:name w:val="正文文本 字符"/>
    <w:basedOn w:val="12"/>
    <w:link w:val="3"/>
    <w:qFormat/>
    <w:uiPriority w:val="1"/>
    <w:rPr>
      <w:rFonts w:ascii="Calibri" w:hAnsi="Calibri" w:eastAsia="宋体" w:cs="Times New Roman"/>
    </w:rPr>
  </w:style>
  <w:style w:type="paragraph" w:styleId="20">
    <w:name w:val="List Paragraph"/>
    <w:basedOn w:val="1"/>
    <w:qFormat/>
    <w:uiPriority w:val="34"/>
    <w:pPr>
      <w:ind w:firstLine="420" w:firstLineChars="200"/>
    </w:pPr>
  </w:style>
  <w:style w:type="character" w:customStyle="1" w:styleId="21">
    <w:name w:val="font21"/>
    <w:basedOn w:val="12"/>
    <w:qFormat/>
    <w:uiPriority w:val="0"/>
    <w:rPr>
      <w:rFonts w:ascii="Calibri" w:hAnsi="Calibri" w:cs="Calibri"/>
      <w:color w:val="000000"/>
      <w:sz w:val="22"/>
      <w:szCs w:val="22"/>
      <w:u w:val="none"/>
    </w:rPr>
  </w:style>
  <w:style w:type="character" w:customStyle="1" w:styleId="22">
    <w:name w:val="font31"/>
    <w:basedOn w:val="12"/>
    <w:qFormat/>
    <w:uiPriority w:val="0"/>
    <w:rPr>
      <w:rFonts w:hint="eastAsia" w:ascii="宋体" w:hAnsi="宋体" w:eastAsia="宋体" w:cs="宋体"/>
      <w:color w:val="000000"/>
      <w:sz w:val="22"/>
      <w:szCs w:val="22"/>
      <w:u w:val="none"/>
    </w:rPr>
  </w:style>
  <w:style w:type="character" w:customStyle="1" w:styleId="23">
    <w:name w:val="font41"/>
    <w:basedOn w:val="12"/>
    <w:qFormat/>
    <w:uiPriority w:val="0"/>
    <w:rPr>
      <w:rFonts w:hint="eastAsia" w:ascii="宋体" w:hAnsi="宋体" w:eastAsia="宋体" w:cs="宋体"/>
      <w:color w:val="000000"/>
      <w:sz w:val="30"/>
      <w:szCs w:val="30"/>
      <w:u w:val="none"/>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font11"/>
    <w:basedOn w:val="12"/>
    <w:qFormat/>
    <w:uiPriority w:val="0"/>
    <w:rPr>
      <w:rFonts w:hint="eastAsia" w:ascii="仿宋" w:hAnsi="仿宋" w:eastAsia="仿宋" w:cs="仿宋"/>
      <w:color w:val="000000"/>
      <w:sz w:val="22"/>
      <w:szCs w:val="22"/>
      <w:u w:val="none"/>
    </w:rPr>
  </w:style>
  <w:style w:type="character" w:customStyle="1" w:styleId="28">
    <w:name w:val="font71"/>
    <w:basedOn w:val="12"/>
    <w:uiPriority w:val="0"/>
    <w:rPr>
      <w:rFonts w:hint="eastAsia" w:ascii="宋体" w:hAnsi="宋体" w:eastAsia="宋体" w:cs="宋体"/>
      <w:color w:val="000000"/>
      <w:sz w:val="20"/>
      <w:szCs w:val="20"/>
      <w:u w:val="none"/>
    </w:rPr>
  </w:style>
  <w:style w:type="character" w:customStyle="1" w:styleId="29">
    <w:name w:val="font61"/>
    <w:basedOn w:val="12"/>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66E856-85F1-4140-870C-932F9E89B55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22</Pages>
  <Words>11533</Words>
  <Characters>11852</Characters>
  <Lines>70</Lines>
  <Paragraphs>19</Paragraphs>
  <TotalTime>27</TotalTime>
  <ScaleCrop>false</ScaleCrop>
  <LinksUpToDate>false</LinksUpToDate>
  <CharactersWithSpaces>12315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2020-05-01T02:55:00Z</dcterms:created>
  <dc:creator>HP</dc:creator>
  <cp:lastModifiedBy>payson</cp:lastModifiedBy>
  <dcterms:modified xsi:type="dcterms:W3CDTF">2023-10-16T07:47:10Z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B574BF43E1BA4B108AFB897567076DED</vt:lpwstr>
  </property>
</Properties>
</file>