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rPr>
          <w:rFonts w:ascii="宋体" w:hAnsi="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21级</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会计事务专业人才培养方案</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一、专业名称及代码</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专业名称：会计事务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专业代码：730301</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二、入学要求</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三、修业年限</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3年</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四、职业面向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712"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73财经商贸大类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71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7303财务会计类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对应行业</w:t>
            </w:r>
          </w:p>
        </w:tc>
        <w:tc>
          <w:tcPr>
            <w:tcW w:w="6712"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主要岗位类别</w:t>
            </w:r>
          </w:p>
        </w:tc>
        <w:tc>
          <w:tcPr>
            <w:tcW w:w="6712"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出纳、会计和财税代理服务、会计信息系统运营服务等岗位群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职业资格证书或技能等级证书</w:t>
            </w:r>
          </w:p>
        </w:tc>
        <w:tc>
          <w:tcPr>
            <w:tcW w:w="6712" w:type="dxa"/>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财务共享服务</w:t>
            </w:r>
            <w:r>
              <w:rPr>
                <w:rFonts w:hint="eastAsia" w:ascii="仿宋" w:hAnsi="仿宋" w:eastAsia="仿宋" w:cs="仿宋"/>
                <w:color w:val="000000"/>
                <w:kern w:val="0"/>
                <w:sz w:val="24"/>
                <w:szCs w:val="24"/>
                <w:lang w:bidi="ar"/>
              </w:rPr>
              <w:t>职业技能等级</w:t>
            </w:r>
            <w:r>
              <w:rPr>
                <w:rFonts w:hint="eastAsia" w:ascii="仿宋" w:hAnsi="仿宋" w:eastAsia="仿宋" w:cs="仿宋"/>
                <w:color w:val="000000" w:themeColor="text1"/>
                <w:sz w:val="24"/>
                <w:szCs w:val="24"/>
                <w14:textFill>
                  <w14:solidFill>
                    <w14:schemeClr w14:val="tx1"/>
                  </w14:solidFill>
                </w14:textFill>
              </w:rPr>
              <w:t>证书、财务数字化应用</w:t>
            </w:r>
            <w:r>
              <w:rPr>
                <w:rFonts w:hint="eastAsia" w:ascii="仿宋" w:hAnsi="仿宋" w:eastAsia="仿宋" w:cs="仿宋"/>
                <w:color w:val="000000"/>
                <w:kern w:val="0"/>
                <w:sz w:val="24"/>
                <w:szCs w:val="24"/>
                <w:lang w:bidi="ar"/>
              </w:rPr>
              <w:t xml:space="preserve">职业技能等 </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级</w:t>
            </w:r>
            <w:r>
              <w:rPr>
                <w:rFonts w:hint="eastAsia" w:ascii="仿宋" w:hAnsi="仿宋" w:eastAsia="仿宋" w:cs="仿宋"/>
                <w:color w:val="000000" w:themeColor="text1"/>
                <w:sz w:val="24"/>
                <w:szCs w:val="24"/>
                <w14:textFill>
                  <w14:solidFill>
                    <w14:schemeClr w14:val="tx1"/>
                  </w14:solidFill>
                </w14:textFill>
              </w:rPr>
              <w:t>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其他证书</w:t>
            </w:r>
          </w:p>
        </w:tc>
        <w:tc>
          <w:tcPr>
            <w:tcW w:w="6712" w:type="dxa"/>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全国计算机应用等级证书、普通话证书等</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五、培养目标与培养规格</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（一）培养目标</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培养德智体美劳全面发展，掌握扎实的科学文化基础和财经法律法规、企业经营与会计管理知识，具备会计核算与监督、财税咨询与服务、财务数据分析与应用等能力，具有工匠精神和信息素养，能够从事企事业单位出纳、会计与财税代理服务、会计信息系统实施等工作的技术技能人才。</w:t>
      </w:r>
      <w:r>
        <w:rPr>
          <w:rFonts w:ascii="Times New Roman" w:hAnsi="Times New Roman"/>
          <w:color w:val="000000"/>
          <w:kern w:val="0"/>
          <w:sz w:val="24"/>
          <w:szCs w:val="24"/>
          <w:lang w:bidi="ar"/>
        </w:rPr>
        <w:t xml:space="preserve"> </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（二）培养规格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专业知识</w:t>
            </w:r>
          </w:p>
        </w:tc>
        <w:tc>
          <w:tcPr>
            <w:tcW w:w="7996"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1.掌握会计基本核算方法、核算程序等专业基础知识；</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2.熟悉与会计职业相关的财经法律法规、企业会计准则、小企业会计准则、会计基础工作规范等知识；</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3.具有Office、Excel、Word等常用办公软件使用基本知识。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能力目标</w:t>
            </w:r>
          </w:p>
        </w:tc>
        <w:tc>
          <w:tcPr>
            <w:tcW w:w="7996"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xml:space="preserve">.掌握票据法规知识和电子票据处理基本技能，具有企业主要经济业务票据识别，票据影像化处理，电子发票开具等票据处理能力；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.掌握资金结算与内控管理知识，具有企业收支业务办理、出纳账务处理和往来资金管理能力；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.掌握企业日常经营活动基本业务流程和会计核算方法，具有主要经济业务会计确认、计量、报告以及实施会计监督的能力；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.掌握财税、金融、工商和知识产权保护等法律法规知识，具有财费计算与申报、财税咨询与服务、工商登记与变更、资质证照办理等代理服务能力；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掌握会计信息系统主要功能、应用方法、实施步骤与工作规范，具有企业供应链基本业务流程办理、业财核算与监督、应用财务机器人进行辅助核算与管理、会计信息系统环境搭建、业务流程与基础数据调查整理、日常运营服务的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.掌握财务数据分析的基本方法和常用分析工具，具有企业经营数据、财务报表数据分析并对数据分析结果进行可视化呈现的能力。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职业素养</w:t>
            </w:r>
          </w:p>
        </w:tc>
        <w:tc>
          <w:tcPr>
            <w:tcW w:w="7996"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1.掌握从事本专业职业活动相关的国家法律及行业规定，掌握环境保护、数据安全、质量管理等相关知识与技能，具有履行社会责任的能力；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2.爱岗敬业，诚实守信，廉洁自律，坚持准则，具有严谨细致、客观公正的职业精神和强化服务、参与管理的职业意识；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3.具有终身学习和可持续发展的能力。</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六、课程设置及要求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（一）公共基础课程</w:t>
      </w:r>
    </w:p>
    <w:tbl>
      <w:tblPr>
        <w:tblStyle w:val="7"/>
        <w:tblW w:w="8930" w:type="dxa"/>
        <w:jc w:val="center"/>
        <w:tblLayout w:type="autofit"/>
        <w:tblCellMar>
          <w:top w:w="0" w:type="dxa"/>
          <w:left w:w="108" w:type="dxa"/>
          <w:bottom w:w="0" w:type="dxa"/>
          <w:right w:w="108" w:type="dxa"/>
        </w:tblCellMar>
      </w:tblPr>
      <w:tblGrid>
        <w:gridCol w:w="731"/>
        <w:gridCol w:w="1530"/>
        <w:gridCol w:w="6669"/>
      </w:tblGrid>
      <w:tr>
        <w:tblPrEx>
          <w:tblCellMar>
            <w:top w:w="0" w:type="dxa"/>
            <w:left w:w="108" w:type="dxa"/>
            <w:bottom w:w="0" w:type="dxa"/>
            <w:right w:w="108" w:type="dxa"/>
          </w:tblCellMar>
        </w:tblPrEx>
        <w:trPr>
          <w:trHeight w:val="349"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00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数学</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集合与逻辑用语、不等式、函数、指数函数与对数函数、任意角的三角函数、数列与数列极限、向量、复数、解析几何、立体几何、排列与组合、概率与统计初步等。通过教学，提高学生的数学素养，培养学生的基本运算、基本计算工具使用、空间想像、数形结合、思维和简单实际应用等能力，为学习专业课打下基础。</w:t>
            </w:r>
          </w:p>
        </w:tc>
      </w:tr>
      <w:tr>
        <w:tblPrEx>
          <w:tblCellMar>
            <w:top w:w="0" w:type="dxa"/>
            <w:left w:w="108" w:type="dxa"/>
            <w:bottom w:w="0" w:type="dxa"/>
            <w:right w:w="108" w:type="dxa"/>
          </w:tblCellMar>
        </w:tblPrEx>
        <w:trPr>
          <w:trHeight w:val="178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语文</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r>
      <w:tr>
        <w:tblPrEx>
          <w:tblCellMar>
            <w:top w:w="0" w:type="dxa"/>
            <w:left w:w="108" w:type="dxa"/>
            <w:bottom w:w="0" w:type="dxa"/>
            <w:right w:w="108" w:type="dxa"/>
          </w:tblCellMar>
        </w:tblPrEx>
        <w:trPr>
          <w:trHeight w:val="138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英语</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使学生能听懂简单对话和短文，能围绕日常话题进行初步交际，能读懂简单应用文，能模拟套写语篇及简单应用文。提高学生自主学习和继续学习的能力,并为学习专门用途英语打下基础。</w:t>
            </w:r>
          </w:p>
        </w:tc>
      </w:tr>
      <w:tr>
        <w:tblPrEx>
          <w:tblCellMar>
            <w:top w:w="0" w:type="dxa"/>
            <w:left w:w="108" w:type="dxa"/>
            <w:bottom w:w="0" w:type="dxa"/>
            <w:right w:w="108" w:type="dxa"/>
          </w:tblCellMar>
        </w:tblPrEx>
        <w:trPr>
          <w:trHeight w:val="15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信息技术</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常用操作系统的使用、文字处理软件的使用、计算机网络的基本操作和使用，掌握计算机操作的基本技能,具有文字处理能力，数据处理能力，信息获取、整理、加工能力，网上交互能力，为以后的学习和工作打下基础。</w:t>
            </w:r>
          </w:p>
        </w:tc>
      </w:tr>
      <w:tr>
        <w:tblPrEx>
          <w:tblCellMar>
            <w:top w:w="0" w:type="dxa"/>
            <w:left w:w="108" w:type="dxa"/>
            <w:bottom w:w="0" w:type="dxa"/>
            <w:right w:w="108" w:type="dxa"/>
          </w:tblCellMar>
        </w:tblPrEx>
        <w:trPr>
          <w:trHeight w:val="310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中国特色社会主义</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226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心理健康与职业生涯</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173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哲学与人生</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r>
      <w:tr>
        <w:tblPrEx>
          <w:tblCellMar>
            <w:top w:w="0" w:type="dxa"/>
            <w:left w:w="108" w:type="dxa"/>
            <w:bottom w:w="0" w:type="dxa"/>
            <w:right w:w="108" w:type="dxa"/>
          </w:tblCellMar>
        </w:tblPrEx>
        <w:trPr>
          <w:trHeight w:val="121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职业道德与法治</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帮助学生理解全面依法治国的总目标和基本要求，了解职业道德和法律规范,增强职业道德和法治意识，养成爱岗敬业、依法办事的思维方式和行为习惯。</w:t>
            </w:r>
          </w:p>
        </w:tc>
      </w:tr>
      <w:tr>
        <w:tblPrEx>
          <w:tblCellMar>
            <w:top w:w="0" w:type="dxa"/>
            <w:left w:w="108" w:type="dxa"/>
            <w:bottom w:w="0" w:type="dxa"/>
            <w:right w:w="108" w:type="dxa"/>
          </w:tblCellMar>
        </w:tblPrEx>
        <w:trPr>
          <w:trHeight w:val="146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体育与健康</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掌握科学锻炼和娱乐休闲的基本方法,养成自觉锻炼的习惯；培养自主锻炼、自我保健、自我评价和自我调控的意识,全面提高身心素质和社会适应能力，为终身锻炼、继续学习与创业立业奠定基础。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52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书法</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坐姿，执笔，基本笔画的书写，了解汉字的结构规律，养成良好的书写习惯,写得一手好字。</w:t>
            </w:r>
          </w:p>
        </w:tc>
      </w:tr>
      <w:tr>
        <w:tblPrEx>
          <w:tblCellMar>
            <w:top w:w="0" w:type="dxa"/>
            <w:left w:w="108" w:type="dxa"/>
            <w:bottom w:w="0" w:type="dxa"/>
            <w:right w:w="108" w:type="dxa"/>
          </w:tblCellMar>
        </w:tblPrEx>
        <w:trPr>
          <w:trHeight w:val="105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礼乐修身</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中外礼仪基本概况及礼仪的核心精神,礼仪实操，社交礼仪常识，中华优秀传统文化常识等，使学生成为有教养、有修养、有素养、有涵养的合格职业人。</w:t>
            </w:r>
          </w:p>
        </w:tc>
      </w:tr>
      <w:tr>
        <w:tblPrEx>
          <w:tblCellMar>
            <w:top w:w="0" w:type="dxa"/>
            <w:left w:w="108" w:type="dxa"/>
            <w:bottom w:w="0" w:type="dxa"/>
            <w:right w:w="108" w:type="dxa"/>
          </w:tblCellMar>
        </w:tblPrEx>
        <w:trPr>
          <w:trHeight w:val="102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历史</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了解并认同中华优秀传统文化、革命文化、社会主义先进文化。了解世界历史发展的基本进程，树立正确的文化观,形成开阔的国际视野和人类命运共同体的意识。</w:t>
            </w:r>
          </w:p>
        </w:tc>
      </w:tr>
    </w:tbl>
    <w:p>
      <w:pPr>
        <w:numPr>
          <w:ilvl w:val="0"/>
          <w:numId w:val="1"/>
        </w:num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专业（技能）课程</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1.专业理论课程</w:t>
      </w:r>
    </w:p>
    <w:tbl>
      <w:tblPr>
        <w:tblStyle w:val="7"/>
        <w:tblW w:w="9056" w:type="dxa"/>
        <w:jc w:val="center"/>
        <w:tblLayout w:type="autofit"/>
        <w:tblCellMar>
          <w:top w:w="0" w:type="dxa"/>
          <w:left w:w="108" w:type="dxa"/>
          <w:bottom w:w="0" w:type="dxa"/>
          <w:right w:w="108" w:type="dxa"/>
        </w:tblCellMar>
      </w:tblPr>
      <w:tblGrid>
        <w:gridCol w:w="794"/>
        <w:gridCol w:w="1589"/>
        <w:gridCol w:w="6673"/>
      </w:tblGrid>
      <w:tr>
        <w:tblPrEx>
          <w:tblCellMar>
            <w:top w:w="0" w:type="dxa"/>
            <w:left w:w="108" w:type="dxa"/>
            <w:bottom w:w="0" w:type="dxa"/>
            <w:right w:w="108" w:type="dxa"/>
          </w:tblCellMar>
        </w:tblPrEx>
        <w:trPr>
          <w:trHeight w:val="324"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17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基础会计</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了解会计工作职责与要求，熟悉会计核算工作程序；会填制与审核原始凭证；会运用借贷记账法填制记账凭证；会登记会计账簿；会编制简单资产负债表和利润表。</w:t>
            </w:r>
          </w:p>
        </w:tc>
      </w:tr>
      <w:tr>
        <w:tblPrEx>
          <w:tblCellMar>
            <w:top w:w="0" w:type="dxa"/>
            <w:left w:w="108" w:type="dxa"/>
            <w:bottom w:w="0" w:type="dxa"/>
            <w:right w:w="108" w:type="dxa"/>
          </w:tblCellMar>
        </w:tblPrEx>
        <w:trPr>
          <w:trHeight w:val="88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企业财务会计</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掌握企业资产、负债、所有者权益、收入、费用、利润等方面主要经济业务的账务处理方法和企业主要会计报表的编制方法。</w:t>
            </w:r>
          </w:p>
        </w:tc>
      </w:tr>
      <w:tr>
        <w:tblPrEx>
          <w:tblCellMar>
            <w:top w:w="0" w:type="dxa"/>
            <w:left w:w="108" w:type="dxa"/>
            <w:bottom w:w="0" w:type="dxa"/>
            <w:right w:w="108" w:type="dxa"/>
          </w:tblCellMar>
        </w:tblPrEx>
        <w:trPr>
          <w:trHeight w:val="646"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税费计算与</w:t>
            </w:r>
            <w:r>
              <w:rPr>
                <w:rFonts w:hint="eastAsia" w:ascii="仿宋" w:hAnsi="仿宋" w:eastAsia="仿宋" w:cs="仿宋"/>
                <w:color w:val="000000"/>
                <w:sz w:val="24"/>
                <w:szCs w:val="24"/>
                <w:lang w:val="en-US" w:eastAsia="zh-CN"/>
              </w:rPr>
              <w:t>缴纳</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tblPrEx>
          <w:tblCellMar>
            <w:top w:w="0" w:type="dxa"/>
            <w:left w:w="108" w:type="dxa"/>
            <w:bottom w:w="0" w:type="dxa"/>
            <w:right w:w="108" w:type="dxa"/>
          </w:tblCellMar>
        </w:tblPrEx>
        <w:trPr>
          <w:trHeight w:val="929"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财经法规与会计职业道德</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r>
        <w:tblPrEx>
          <w:tblCellMar>
            <w:top w:w="0" w:type="dxa"/>
            <w:left w:w="108" w:type="dxa"/>
            <w:bottom w:w="0" w:type="dxa"/>
            <w:right w:w="108" w:type="dxa"/>
          </w:tblCellMar>
        </w:tblPrEx>
        <w:trPr>
          <w:trHeight w:val="794"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统计基础</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理解企业统计指标经济含义；能够熟练运用Excel整理和应用企业统计信息；会编制和报送小企业统计报表。</w:t>
            </w:r>
          </w:p>
        </w:tc>
      </w:tr>
      <w:tr>
        <w:tblPrEx>
          <w:tblCellMar>
            <w:top w:w="0" w:type="dxa"/>
            <w:left w:w="108" w:type="dxa"/>
            <w:bottom w:w="0" w:type="dxa"/>
            <w:right w:w="108" w:type="dxa"/>
          </w:tblCellMar>
        </w:tblPrEx>
        <w:trPr>
          <w:trHeight w:val="55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成本会计</w:t>
            </w:r>
          </w:p>
        </w:tc>
        <w:tc>
          <w:tcPr>
            <w:tcW w:w="6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了解企业成本核算基本程序与基本方法；会编利小企业常用成本费用报表。</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2.专业实训课程</w:t>
      </w:r>
    </w:p>
    <w:tbl>
      <w:tblPr>
        <w:tblStyle w:val="7"/>
        <w:tblW w:w="9058" w:type="dxa"/>
        <w:jc w:val="center"/>
        <w:tblLayout w:type="fixed"/>
        <w:tblCellMar>
          <w:top w:w="0" w:type="dxa"/>
          <w:left w:w="108" w:type="dxa"/>
          <w:bottom w:w="0" w:type="dxa"/>
          <w:right w:w="108" w:type="dxa"/>
        </w:tblCellMar>
      </w:tblPr>
      <w:tblGrid>
        <w:gridCol w:w="768"/>
        <w:gridCol w:w="1698"/>
        <w:gridCol w:w="4996"/>
        <w:gridCol w:w="1596"/>
      </w:tblGrid>
      <w:tr>
        <w:tblPrEx>
          <w:tblCellMar>
            <w:top w:w="0" w:type="dxa"/>
            <w:left w:w="108" w:type="dxa"/>
            <w:bottom w:w="0" w:type="dxa"/>
            <w:right w:w="108" w:type="dxa"/>
          </w:tblCellMar>
        </w:tblPrEx>
        <w:trPr>
          <w:trHeight w:val="636"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实训模式</w:t>
            </w:r>
          </w:p>
        </w:tc>
      </w:tr>
      <w:tr>
        <w:tblPrEx>
          <w:tblCellMar>
            <w:top w:w="0" w:type="dxa"/>
            <w:left w:w="108" w:type="dxa"/>
            <w:bottom w:w="0" w:type="dxa"/>
            <w:right w:w="108" w:type="dxa"/>
          </w:tblCellMar>
        </w:tblPrEx>
        <w:trPr>
          <w:trHeight w:val="5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财经技能</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掌握点钞、中英文录入、数字录入等的基本方法。</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03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出纳实训</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借助软件平台，办理库存现金、银行存款收付业务；填制常用的现金结算和银行结算单据；登记现金日记账和银行存款日记账。</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75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基础会计实训</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借助软件平台,学习账簿的设置、启用及登记等整套会计业务流程。</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96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手工记账</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完成一家小型制造企业某一会计期间经济业务的模拟训练,初步接触企业经济业务会计核算全过程。</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882"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会计信息化</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借助软件平台，实施会计账套管理初始工作；能熟练运用总账、报表、工资、固定资产等基本功能模块核算企业日常经济业务。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单人多岗</w:t>
            </w:r>
          </w:p>
        </w:tc>
      </w:tr>
      <w:tr>
        <w:tblPrEx>
          <w:tblCellMar>
            <w:top w:w="0" w:type="dxa"/>
            <w:left w:w="108" w:type="dxa"/>
            <w:bottom w:w="0" w:type="dxa"/>
            <w:right w:w="108" w:type="dxa"/>
          </w:tblCellMar>
        </w:tblPrEx>
        <w:trPr>
          <w:trHeight w:val="909"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税务技能实训</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借助软件平台，办理增值税、个人所得税、企业所得税、城市维护建设税等税种的计算、申报和缴纳。</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竞赛（单人多岗）</w:t>
            </w:r>
          </w:p>
        </w:tc>
      </w:tr>
      <w:tr>
        <w:tblPrEx>
          <w:tblCellMar>
            <w:top w:w="0" w:type="dxa"/>
            <w:left w:w="108" w:type="dxa"/>
            <w:bottom w:w="0" w:type="dxa"/>
            <w:right w:w="108" w:type="dxa"/>
          </w:tblCellMar>
        </w:tblPrEx>
        <w:trPr>
          <w:trHeight w:val="1374"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会计综合实训</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平台将业务、账务、税务融合成一个整体,以经济业务发生为主线，将财务各项工作结合起来，实现流程串联、数据共联、逻辑通联、操作互联,多元化培养学生财税相关技能。</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1152"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r>
        <w:tblPrEx>
          <w:tblCellMar>
            <w:top w:w="0" w:type="dxa"/>
            <w:left w:w="108" w:type="dxa"/>
            <w:bottom w:w="0" w:type="dxa"/>
            <w:right w:w="108" w:type="dxa"/>
          </w:tblCellMar>
        </w:tblPrEx>
        <w:trPr>
          <w:trHeight w:val="901"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c>
          <w:tcPr>
            <w:tcW w:w="4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培养学生财务数字化平台协同应用能力、对外协调沟通能力、内部风险应变能力和经济业务数字化处理能力。</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bl>
    <w:tbl>
      <w:tblPr>
        <w:tblStyle w:val="7"/>
        <w:tblpPr w:leftFromText="180" w:rightFromText="180" w:vertAnchor="text" w:horzAnchor="page" w:tblpX="1779" w:tblpY="558"/>
        <w:tblOverlap w:val="never"/>
        <w:tblW w:w="8850" w:type="dxa"/>
        <w:tblInd w:w="0" w:type="dxa"/>
        <w:tblLayout w:type="fixed"/>
        <w:tblCellMar>
          <w:top w:w="0" w:type="dxa"/>
          <w:left w:w="108" w:type="dxa"/>
          <w:bottom w:w="0" w:type="dxa"/>
          <w:right w:w="108" w:type="dxa"/>
        </w:tblCellMar>
      </w:tblPr>
      <w:tblGrid>
        <w:gridCol w:w="704"/>
        <w:gridCol w:w="2261"/>
        <w:gridCol w:w="5885"/>
      </w:tblGrid>
      <w:tr>
        <w:tblPrEx>
          <w:tblCellMar>
            <w:top w:w="0" w:type="dxa"/>
            <w:left w:w="108" w:type="dxa"/>
            <w:bottom w:w="0" w:type="dxa"/>
            <w:right w:w="108" w:type="dxa"/>
          </w:tblCellMar>
        </w:tblPrEx>
        <w:trPr>
          <w:trHeight w:val="6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54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tblPrEx>
          <w:tblCellMar>
            <w:top w:w="0" w:type="dxa"/>
            <w:left w:w="108" w:type="dxa"/>
            <w:bottom w:w="0" w:type="dxa"/>
            <w:right w:w="108" w:type="dxa"/>
          </w:tblCellMar>
        </w:tblPrEx>
        <w:trPr>
          <w:trHeight w:val="125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通过完成典型的岗位工作任务,认知企业主要经管理活动过程和主要业务流程；体验企业内部门间的协作关系及其与企业外围相关经济组织与管理部门之间的业务关联。</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3.专业拓展课程</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（三）综合素养课程</w:t>
      </w:r>
    </w:p>
    <w:tbl>
      <w:tblPr>
        <w:tblStyle w:val="7"/>
        <w:tblW w:w="8859" w:type="dxa"/>
        <w:tblInd w:w="96" w:type="dxa"/>
        <w:tblLayout w:type="autofit"/>
        <w:tblCellMar>
          <w:top w:w="0" w:type="dxa"/>
          <w:left w:w="108" w:type="dxa"/>
          <w:bottom w:w="0" w:type="dxa"/>
          <w:right w:w="108" w:type="dxa"/>
        </w:tblCellMar>
      </w:tblPr>
      <w:tblGrid>
        <w:gridCol w:w="867"/>
        <w:gridCol w:w="1896"/>
        <w:gridCol w:w="6096"/>
      </w:tblGrid>
      <w:tr>
        <w:tblPrEx>
          <w:tblCellMar>
            <w:top w:w="0" w:type="dxa"/>
            <w:left w:w="108" w:type="dxa"/>
            <w:bottom w:w="0" w:type="dxa"/>
            <w:right w:w="108" w:type="dxa"/>
          </w:tblCellMar>
        </w:tblPrEx>
        <w:trPr>
          <w:trHeight w:val="611"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35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军事训练</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698"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劳动实践</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让学生在劳动中接受锻炼、磨炼意志，懂得劳动创造美好生活的道理，并培养良好的劳动品质。</w:t>
            </w:r>
          </w:p>
        </w:tc>
      </w:tr>
      <w:tr>
        <w:tblPrEx>
          <w:tblCellMar>
            <w:top w:w="0" w:type="dxa"/>
            <w:left w:w="108" w:type="dxa"/>
            <w:bottom w:w="0" w:type="dxa"/>
            <w:right w:w="108" w:type="dxa"/>
          </w:tblCellMar>
        </w:tblPrEx>
        <w:trPr>
          <w:trHeight w:val="879"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财经素养</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设置不同的任务模块，学习有关诚信文化、进行家庭理财调查、研学与涉税业务相关的法律法规等。引导学生树立正确的消费观、财富观。</w:t>
            </w:r>
          </w:p>
        </w:tc>
      </w:tr>
      <w:tr>
        <w:tblPrEx>
          <w:tblCellMar>
            <w:top w:w="0" w:type="dxa"/>
            <w:left w:w="108" w:type="dxa"/>
            <w:bottom w:w="0" w:type="dxa"/>
            <w:right w:w="108" w:type="dxa"/>
          </w:tblCellMar>
        </w:tblPrEx>
        <w:trPr>
          <w:trHeight w:val="1162"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了解目标职业的需求情况,掌握目标岗位要求,熟悉职业规范,形成正确的就业观,寻找自身的差距,激发全面提高自身素质的积极性和自觉性,养成良好的职业道德。</w:t>
            </w:r>
          </w:p>
        </w:tc>
      </w:tr>
      <w:tr>
        <w:tblPrEx>
          <w:tblCellMar>
            <w:top w:w="0" w:type="dxa"/>
            <w:left w:w="108" w:type="dxa"/>
            <w:bottom w:w="0" w:type="dxa"/>
            <w:right w:w="108" w:type="dxa"/>
          </w:tblCellMar>
        </w:tblPrEx>
        <w:trPr>
          <w:trHeight w:val="1718"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pPr>
        <w:spacing w:line="560" w:lineRule="exact"/>
        <w:ind w:firstLine="643"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（四）资格认证课程</w:t>
      </w:r>
    </w:p>
    <w:tbl>
      <w:tblPr>
        <w:tblStyle w:val="7"/>
        <w:tblW w:w="7579" w:type="dxa"/>
        <w:jc w:val="center"/>
        <w:tblLayout w:type="autofit"/>
        <w:tblCellMar>
          <w:top w:w="0" w:type="dxa"/>
          <w:left w:w="108" w:type="dxa"/>
          <w:bottom w:w="0" w:type="dxa"/>
          <w:right w:w="108" w:type="dxa"/>
        </w:tblCellMar>
      </w:tblPr>
      <w:tblGrid>
        <w:gridCol w:w="3471"/>
        <w:gridCol w:w="4108"/>
      </w:tblGrid>
      <w:tr>
        <w:tblPrEx>
          <w:tblCellMar>
            <w:top w:w="0" w:type="dxa"/>
            <w:left w:w="108" w:type="dxa"/>
            <w:bottom w:w="0" w:type="dxa"/>
            <w:right w:w="108" w:type="dxa"/>
          </w:tblCellMar>
        </w:tblPrEx>
        <w:trPr>
          <w:trHeight w:val="402" w:hRule="atLeast"/>
          <w:jc w:val="center"/>
        </w:trPr>
        <w:tc>
          <w:tcPr>
            <w:tcW w:w="347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410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开设课程</w:t>
            </w:r>
          </w:p>
        </w:tc>
      </w:tr>
      <w:tr>
        <w:tblPrEx>
          <w:tblCellMar>
            <w:top w:w="0" w:type="dxa"/>
            <w:left w:w="108" w:type="dxa"/>
            <w:bottom w:w="0" w:type="dxa"/>
            <w:right w:w="108" w:type="dxa"/>
          </w:tblCellMar>
        </w:tblPrEx>
        <w:trPr>
          <w:trHeight w:val="402" w:hRule="atLeast"/>
          <w:jc w:val="center"/>
        </w:trPr>
        <w:tc>
          <w:tcPr>
            <w:tcW w:w="347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全国计算机等级考试（一级）</w:t>
            </w:r>
          </w:p>
        </w:tc>
        <w:tc>
          <w:tcPr>
            <w:tcW w:w="410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02" w:hRule="atLeast"/>
          <w:jc w:val="center"/>
        </w:trPr>
        <w:tc>
          <w:tcPr>
            <w:tcW w:w="347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410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402" w:hRule="atLeast"/>
          <w:jc w:val="center"/>
        </w:trPr>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财务共享服务（初级）</w:t>
            </w:r>
          </w:p>
        </w:tc>
        <w:tc>
          <w:tcPr>
            <w:tcW w:w="4108"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r>
      <w:tr>
        <w:tblPrEx>
          <w:tblCellMar>
            <w:top w:w="0" w:type="dxa"/>
            <w:left w:w="108" w:type="dxa"/>
            <w:bottom w:w="0" w:type="dxa"/>
            <w:right w:w="108" w:type="dxa"/>
          </w:tblCellMar>
        </w:tblPrEx>
        <w:trPr>
          <w:trHeight w:val="435" w:hRule="atLeast"/>
          <w:jc w:val="center"/>
        </w:trPr>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财务数字化应用（初级）</w:t>
            </w:r>
          </w:p>
        </w:tc>
        <w:tc>
          <w:tcPr>
            <w:tcW w:w="4108"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lang w:eastAsia="zh-CN"/>
          <w14:textFill>
            <w14:solidFill>
              <w14:schemeClr w14:val="tx1"/>
            </w14:solidFill>
          </w14:textFill>
        </w:rPr>
        <w:t>）岗位实习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1.实习目标</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使学生接触</w:t>
      </w:r>
      <w:r>
        <w:rPr>
          <w:rFonts w:hint="eastAsia" w:ascii="仿宋" w:hAnsi="仿宋" w:eastAsia="仿宋" w:cs="仿宋"/>
          <w:bCs/>
          <w:color w:val="000000" w:themeColor="text1"/>
          <w:sz w:val="32"/>
          <w:szCs w:val="32"/>
          <w:lang w:val="en-US" w:eastAsia="zh-CN"/>
          <w14:textFill>
            <w14:solidFill>
              <w14:schemeClr w14:val="tx1"/>
            </w14:solidFill>
          </w14:textFill>
        </w:rPr>
        <w:t>会计</w:t>
      </w:r>
      <w:r>
        <w:rPr>
          <w:rFonts w:hint="eastAsia" w:ascii="仿宋" w:hAnsi="仿宋" w:eastAsia="仿宋" w:cs="仿宋"/>
          <w:bCs/>
          <w:color w:val="000000" w:themeColor="text1"/>
          <w:sz w:val="32"/>
          <w:szCs w:val="32"/>
          <w14:textFill>
            <w14:solidFill>
              <w14:schemeClr w14:val="tx1"/>
            </w14:solidFill>
          </w14:textFill>
        </w:rPr>
        <w:t>专业工作岗位,掌握岗位的典型工作流程、工作内容及核心技能；培养学生爱岗敬业、精益求精、诚实守信的职业精神</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帮助</w:t>
      </w:r>
      <w:r>
        <w:rPr>
          <w:rFonts w:hint="eastAsia" w:ascii="仿宋" w:hAnsi="仿宋" w:eastAsia="仿宋" w:cs="仿宋"/>
          <w:bCs/>
          <w:color w:val="000000" w:themeColor="text1"/>
          <w:sz w:val="32"/>
          <w:szCs w:val="32"/>
          <w14:textFill>
            <w14:solidFill>
              <w14:schemeClr w14:val="tx1"/>
            </w14:solidFill>
          </w14:textFill>
        </w:rPr>
        <w:t>学生认识社会，切实提高人际沟通能力、组织管理能力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使学生的职业能力在实践运用中进一步深化。</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2.实习岗位</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实习</w:t>
      </w:r>
      <w:r>
        <w:rPr>
          <w:rFonts w:hint="eastAsia" w:ascii="仿宋" w:hAnsi="仿宋" w:eastAsia="仿宋" w:cs="仿宋"/>
          <w:bCs/>
          <w:color w:val="000000" w:themeColor="text1"/>
          <w:sz w:val="32"/>
          <w:szCs w:val="32"/>
          <w14:textFill>
            <w14:solidFill>
              <w14:schemeClr w14:val="tx1"/>
            </w14:solidFill>
          </w14:textFill>
        </w:rPr>
        <w:t>岗位主要包括：收银员、库管员、出纳员、会计员</w:t>
      </w:r>
      <w:r>
        <w:rPr>
          <w:rFonts w:hint="eastAsia" w:ascii="仿宋" w:hAnsi="仿宋" w:eastAsia="仿宋" w:cs="仿宋"/>
          <w:bCs/>
          <w:color w:val="000000" w:themeColor="text1"/>
          <w:sz w:val="32"/>
          <w:szCs w:val="32"/>
          <w:lang w:val="en-US" w:eastAsia="zh-CN"/>
          <w14:textFill>
            <w14:solidFill>
              <w14:schemeClr w14:val="tx1"/>
            </w14:solidFill>
          </w14:textFill>
        </w:rPr>
        <w:t>等</w:t>
      </w:r>
      <w:r>
        <w:rPr>
          <w:rFonts w:hint="eastAsia" w:ascii="仿宋" w:hAnsi="仿宋" w:eastAsia="仿宋" w:cs="仿宋"/>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3.实习内容</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费用报销</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现金收支核算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银行转账结算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核算财产物资</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核算工资薪金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核算产品成本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核算财务成果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编制会计报表</w:t>
      </w:r>
      <w:r>
        <w:rPr>
          <w:rFonts w:hint="eastAsia" w:ascii="仿宋" w:hAnsi="仿宋" w:eastAsia="仿宋" w:cs="仿宋"/>
          <w:bCs/>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4.实习时间</w:t>
      </w:r>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numPr>
          <w:ilvl w:val="0"/>
          <w:numId w:val="0"/>
        </w:num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教学进程总体安排</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（一）教学进程总体安排表</w:t>
      </w:r>
    </w:p>
    <w:tbl>
      <w:tblPr>
        <w:tblStyle w:val="7"/>
        <w:tblW w:w="8452" w:type="dxa"/>
        <w:jc w:val="center"/>
        <w:tblLayout w:type="autofit"/>
        <w:tblCellMar>
          <w:top w:w="0" w:type="dxa"/>
          <w:left w:w="108" w:type="dxa"/>
          <w:bottom w:w="0" w:type="dxa"/>
          <w:right w:w="108" w:type="dxa"/>
        </w:tblCellMar>
      </w:tblPr>
      <w:tblGrid>
        <w:gridCol w:w="652"/>
        <w:gridCol w:w="496"/>
        <w:gridCol w:w="437"/>
        <w:gridCol w:w="533"/>
        <w:gridCol w:w="2774"/>
        <w:gridCol w:w="656"/>
        <w:gridCol w:w="437"/>
        <w:gridCol w:w="437"/>
        <w:gridCol w:w="437"/>
        <w:gridCol w:w="437"/>
        <w:gridCol w:w="437"/>
        <w:gridCol w:w="719"/>
      </w:tblGrid>
      <w:tr>
        <w:tblPrEx>
          <w:tblCellMar>
            <w:top w:w="0" w:type="dxa"/>
            <w:left w:w="108" w:type="dxa"/>
            <w:bottom w:w="0" w:type="dxa"/>
            <w:right w:w="108" w:type="dxa"/>
          </w:tblCellMar>
        </w:tblPrEx>
        <w:trPr>
          <w:trHeight w:val="399"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课程类别</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性质</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2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课程名称</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总学时</w:t>
            </w:r>
          </w:p>
        </w:tc>
        <w:tc>
          <w:tcPr>
            <w:tcW w:w="290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各学期周学时安排</w:t>
            </w:r>
          </w:p>
        </w:tc>
      </w:tr>
      <w:tr>
        <w:tblPrEx>
          <w:tblCellMar>
            <w:top w:w="0" w:type="dxa"/>
            <w:left w:w="108" w:type="dxa"/>
            <w:bottom w:w="0" w:type="dxa"/>
            <w:right w:w="108" w:type="dxa"/>
          </w:tblCellMar>
        </w:tblPrEx>
        <w:trPr>
          <w:trHeight w:val="114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2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第一学期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第二学期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第三学期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第四学期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第五学期</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第六学期</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数学</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248</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语文</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248</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英语</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248</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信息技术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中国特色社会主义</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心理健康与职业生涯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哲学与人生</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职业道德与法治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体育与健康</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196</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2</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书法</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礼乐修身</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历史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3744" w:type="dxa"/>
            <w:gridSpan w:val="3"/>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1334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719"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14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技能)</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课程</w:t>
            </w:r>
          </w:p>
        </w:tc>
        <w:tc>
          <w:tcPr>
            <w:tcW w:w="49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专业理论课程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14</w:t>
            </w:r>
            <w:r>
              <w:rPr>
                <w:rFonts w:hint="eastAsia" w:ascii="仿宋" w:hAnsi="仿宋" w:eastAsia="仿宋" w:cs="宋体"/>
                <w:color w:val="000000"/>
                <w:kern w:val="0"/>
                <w:sz w:val="22"/>
                <w:lang w:val="en-US" w:eastAsia="zh-CN"/>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企业财务会计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税费计算与</w:t>
            </w:r>
            <w:r>
              <w:rPr>
                <w:rFonts w:hint="eastAsia" w:ascii="仿宋" w:hAnsi="仿宋" w:eastAsia="仿宋" w:cs="宋体"/>
                <w:color w:val="000000"/>
                <w:kern w:val="0"/>
                <w:sz w:val="22"/>
                <w:lang w:val="en-US" w:eastAsia="zh-CN"/>
              </w:rPr>
              <w:t>缴纳</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财经法规与会计职业道德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14</w:t>
            </w:r>
            <w:r>
              <w:rPr>
                <w:rFonts w:hint="eastAsia" w:ascii="仿宋" w:hAnsi="仿宋" w:eastAsia="仿宋" w:cs="宋体"/>
                <w:color w:val="000000"/>
                <w:kern w:val="0"/>
                <w:sz w:val="22"/>
                <w:lang w:val="en-US" w:eastAsia="zh-CN"/>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统计基础</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成本会计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专业实训课程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财经技能</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出纳实训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Excel在会计中的应用</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手工记账</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会计信息化</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税务技能实训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99"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会计综合实训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w:t>
            </w:r>
          </w:p>
        </w:tc>
        <w:tc>
          <w:tcPr>
            <w:tcW w:w="6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180</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7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2774"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财务数字化应用</w:t>
            </w:r>
          </w:p>
        </w:tc>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7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240" w:type="dxa"/>
            <w:gridSpan w:val="4"/>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专业(技能)课程小计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12</w:t>
            </w:r>
            <w:r>
              <w:rPr>
                <w:rFonts w:hint="eastAsia" w:ascii="仿宋" w:hAnsi="仿宋" w:eastAsia="仿宋" w:cs="宋体"/>
                <w:color w:val="000000"/>
                <w:kern w:val="0"/>
                <w:sz w:val="22"/>
                <w:lang w:val="en-US" w:eastAsia="zh-CN"/>
              </w:rPr>
              <w:t>60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16</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719"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专业拓展课程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选修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ERP沙盘认知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VBSE模拟商业社会安训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综合素养课程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军事训练</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劳动实践</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财经素养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特色德育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就业指导</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职业能力</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104</w:t>
            </w: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1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资格认证</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全国计算机等级考试（一级）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普通话</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财务数字化应用（初级）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实践教学</w:t>
            </w:r>
          </w:p>
        </w:tc>
        <w:tc>
          <w:tcPr>
            <w:tcW w:w="43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岗位实习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540</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892" w:type="dxa"/>
            <w:gridSpan w:val="5"/>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合计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400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32</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719"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16</w:t>
            </w:r>
            <w:r>
              <w:rPr>
                <w:rFonts w:hint="eastAsia" w:ascii="仿宋" w:hAnsi="仿宋" w:eastAsia="仿宋" w:cs="宋体"/>
                <w:color w:val="000000"/>
                <w:kern w:val="0"/>
                <w:sz w:val="22"/>
              </w:rPr>
              <w:t>　</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八、实施保障</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（一）师资队伍</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本专业专任教师应具有会计事务或会计事务相关专业本科及以上学历、中等职业学校教师资格证书。专业带头人应有较高的业务能力，具有中级以上专业技术职务和相关职业资格。</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学团队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1.教室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教室应配备先进的多媒体教学设备。</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2.校内实训室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校内实训室应加大软硬件投入，丰富实训内容，达到提升职业能力的目的。</w:t>
      </w:r>
    </w:p>
    <w:tbl>
      <w:tblPr>
        <w:tblStyle w:val="7"/>
        <w:tblW w:w="8730" w:type="dxa"/>
        <w:tblInd w:w="96" w:type="dxa"/>
        <w:tblLayout w:type="fixed"/>
        <w:tblCellMar>
          <w:top w:w="0" w:type="dxa"/>
          <w:left w:w="108" w:type="dxa"/>
          <w:bottom w:w="0" w:type="dxa"/>
          <w:right w:w="108" w:type="dxa"/>
        </w:tblCellMar>
      </w:tblPr>
      <w:tblGrid>
        <w:gridCol w:w="2157"/>
        <w:gridCol w:w="2201"/>
        <w:gridCol w:w="4372"/>
      </w:tblGrid>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实训室名称</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功能</w:t>
            </w:r>
          </w:p>
        </w:tc>
        <w:tc>
          <w:tcPr>
            <w:tcW w:w="43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配置</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Style w:val="19"/>
                <w:rFonts w:hint="default" w:ascii="仿宋" w:hAnsi="仿宋" w:eastAsia="仿宋" w:cs="仿宋"/>
                <w:sz w:val="24"/>
                <w:szCs w:val="24"/>
                <w:lang w:bidi="ar"/>
              </w:rPr>
              <w:t>智能财税实训基地</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3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学生用电脑85台；教师示范用电脑4台；多媒体设备1套。</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
                <w:rFonts w:hint="default" w:ascii="仿宋" w:hAnsi="仿宋" w:eastAsia="仿宋" w:cs="仿宋"/>
                <w:sz w:val="24"/>
                <w:szCs w:val="24"/>
                <w:lang w:bidi="ar"/>
              </w:rPr>
            </w:pPr>
            <w:r>
              <w:rPr>
                <w:rStyle w:val="19"/>
                <w:rFonts w:hint="default" w:ascii="仿宋" w:hAnsi="仿宋" w:eastAsia="仿宋" w:cs="仿宋"/>
                <w:sz w:val="24"/>
                <w:szCs w:val="24"/>
                <w:lang w:bidi="ar"/>
              </w:rPr>
              <w:t>智慧财务创新中心</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3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学生用电脑80台；教师示范用电脑4台；多媒体设备1套。</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
                <w:rFonts w:hint="default" w:ascii="仿宋" w:hAnsi="仿宋" w:eastAsia="仿宋" w:cs="仿宋"/>
                <w:sz w:val="24"/>
                <w:szCs w:val="24"/>
                <w:lang w:bidi="ar"/>
              </w:rPr>
            </w:pPr>
            <w:r>
              <w:rPr>
                <w:rFonts w:hint="eastAsia" w:ascii="仿宋" w:hAnsi="仿宋" w:eastAsia="仿宋" w:cs="仿宋"/>
                <w:kern w:val="0"/>
                <w:sz w:val="24"/>
                <w:lang w:bidi="ar"/>
              </w:rPr>
              <w:t>会计信息化实训室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3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学生用电脑200台；教师示范用电脑10台；多媒体设备4套。</w:t>
            </w:r>
          </w:p>
        </w:tc>
      </w:tr>
      <w:tr>
        <w:tblPrEx>
          <w:tblCellMar>
            <w:top w:w="0" w:type="dxa"/>
            <w:left w:w="108" w:type="dxa"/>
            <w:bottom w:w="0" w:type="dxa"/>
            <w:right w:w="108" w:type="dxa"/>
          </w:tblCellMar>
        </w:tblPrEx>
        <w:trPr>
          <w:trHeight w:val="1610"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VBSE实训室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满足会计综合实训专业课程需要</w:t>
            </w:r>
          </w:p>
        </w:tc>
        <w:tc>
          <w:tcPr>
            <w:tcW w:w="4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台式电脑</w:t>
            </w:r>
            <w:r>
              <w:rPr>
                <w:rStyle w:val="18"/>
                <w:rFonts w:hint="eastAsia" w:ascii="仿宋" w:hAnsi="仿宋" w:eastAsia="仿宋" w:cs="仿宋"/>
                <w:sz w:val="24"/>
                <w:szCs w:val="24"/>
                <w:lang w:bidi="ar"/>
              </w:rPr>
              <w:t>78</w:t>
            </w:r>
            <w:r>
              <w:rPr>
                <w:rStyle w:val="19"/>
                <w:rFonts w:hint="default" w:ascii="仿宋" w:hAnsi="仿宋" w:eastAsia="仿宋" w:cs="仿宋"/>
                <w:sz w:val="24"/>
                <w:szCs w:val="24"/>
                <w:lang w:bidi="ar"/>
              </w:rPr>
              <w:t>台；</w:t>
            </w:r>
            <w:r>
              <w:rPr>
                <w:rStyle w:val="18"/>
                <w:rFonts w:hint="eastAsia" w:ascii="仿宋" w:hAnsi="仿宋" w:eastAsia="仿宋" w:cs="仿宋"/>
                <w:sz w:val="24"/>
                <w:szCs w:val="24"/>
                <w:lang w:bidi="ar"/>
              </w:rPr>
              <w:t>VBSE</w:t>
            </w:r>
            <w:r>
              <w:rPr>
                <w:rStyle w:val="19"/>
                <w:rFonts w:hint="default" w:ascii="仿宋" w:hAnsi="仿宋" w:eastAsia="仿宋" w:cs="仿宋"/>
                <w:sz w:val="24"/>
                <w:szCs w:val="24"/>
                <w:lang w:bidi="ar"/>
              </w:rPr>
              <w:t>综合实践教学平台软件</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套；多媒体触摸一体机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台；叫号机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台；满意度评价器</w:t>
            </w:r>
            <w:r>
              <w:rPr>
                <w:rStyle w:val="18"/>
                <w:rFonts w:hint="eastAsia" w:ascii="仿宋" w:hAnsi="仿宋" w:eastAsia="仿宋" w:cs="仿宋"/>
                <w:sz w:val="24"/>
                <w:szCs w:val="24"/>
                <w:lang w:bidi="ar"/>
              </w:rPr>
              <w:t>4</w:t>
            </w:r>
            <w:r>
              <w:rPr>
                <w:rStyle w:val="19"/>
                <w:rFonts w:hint="default" w:ascii="仿宋" w:hAnsi="仿宋" w:eastAsia="仿宋" w:cs="仿宋"/>
                <w:sz w:val="24"/>
                <w:szCs w:val="24"/>
                <w:lang w:bidi="ar"/>
              </w:rPr>
              <w:t>台；激光打印机</w:t>
            </w:r>
            <w:r>
              <w:rPr>
                <w:rStyle w:val="18"/>
                <w:rFonts w:hint="eastAsia" w:ascii="仿宋" w:hAnsi="仿宋" w:eastAsia="仿宋" w:cs="仿宋"/>
                <w:sz w:val="24"/>
                <w:szCs w:val="24"/>
                <w:lang w:bidi="ar"/>
              </w:rPr>
              <w:t>2</w:t>
            </w:r>
            <w:r>
              <w:rPr>
                <w:rStyle w:val="19"/>
                <w:rFonts w:hint="default" w:ascii="仿宋" w:hAnsi="仿宋" w:eastAsia="仿宋" w:cs="仿宋"/>
                <w:sz w:val="24"/>
                <w:szCs w:val="24"/>
                <w:lang w:bidi="ar"/>
              </w:rPr>
              <w:t>台，指纹考勤机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台；交换机</w:t>
            </w:r>
            <w:r>
              <w:rPr>
                <w:rStyle w:val="18"/>
                <w:rFonts w:hint="eastAsia" w:ascii="仿宋" w:hAnsi="仿宋" w:eastAsia="仿宋" w:cs="仿宋"/>
                <w:sz w:val="24"/>
                <w:szCs w:val="24"/>
                <w:lang w:bidi="ar"/>
              </w:rPr>
              <w:t>3</w:t>
            </w:r>
            <w:r>
              <w:rPr>
                <w:rStyle w:val="19"/>
                <w:rFonts w:hint="default" w:ascii="仿宋" w:hAnsi="仿宋" w:eastAsia="仿宋" w:cs="仿宋"/>
                <w:sz w:val="24"/>
                <w:szCs w:val="24"/>
                <w:lang w:bidi="ar"/>
              </w:rPr>
              <w:t>台</w:t>
            </w:r>
            <w:r>
              <w:rPr>
                <w:rStyle w:val="20"/>
                <w:rFonts w:hint="default" w:ascii="仿宋" w:hAnsi="仿宋" w:eastAsia="仿宋" w:cs="仿宋"/>
                <w:sz w:val="24"/>
                <w:szCs w:val="24"/>
                <w:lang w:bidi="ar"/>
              </w:rPr>
              <w:t>。</w:t>
            </w:r>
          </w:p>
        </w:tc>
      </w:tr>
      <w:tr>
        <w:tblPrEx>
          <w:tblCellMar>
            <w:top w:w="0" w:type="dxa"/>
            <w:left w:w="108" w:type="dxa"/>
            <w:bottom w:w="0" w:type="dxa"/>
            <w:right w:w="108" w:type="dxa"/>
          </w:tblCellMar>
        </w:tblPrEx>
        <w:trPr>
          <w:trHeight w:val="952"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财经技能实训室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满足点钞、传票翻打、珠算、计算器等财经技能学习需要</w:t>
            </w:r>
          </w:p>
        </w:tc>
        <w:tc>
          <w:tcPr>
            <w:tcW w:w="4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点钞纸若干；爱丁派50台；传票若干本；验钞机1台；计算器40个；算盘40个；多媒体设备1套。</w:t>
            </w:r>
          </w:p>
        </w:tc>
      </w:tr>
      <w:tr>
        <w:tblPrEx>
          <w:tblCellMar>
            <w:top w:w="0" w:type="dxa"/>
            <w:left w:w="108" w:type="dxa"/>
            <w:bottom w:w="0" w:type="dxa"/>
            <w:right w:w="108" w:type="dxa"/>
          </w:tblCellMar>
        </w:tblPrEx>
        <w:trPr>
          <w:trHeight w:val="782"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ERP沙盘实训室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满足学生模拟企业经营实训需要</w:t>
            </w:r>
          </w:p>
        </w:tc>
        <w:tc>
          <w:tcPr>
            <w:tcW w:w="4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学生用电脑50台；教师示范用电脑1台；多媒体设备1套。</w:t>
            </w:r>
          </w:p>
        </w:tc>
      </w:tr>
      <w:tr>
        <w:tblPrEx>
          <w:tblCellMar>
            <w:top w:w="0" w:type="dxa"/>
            <w:left w:w="108" w:type="dxa"/>
            <w:bottom w:w="0" w:type="dxa"/>
            <w:right w:w="108" w:type="dxa"/>
          </w:tblCellMar>
        </w:tblPrEx>
        <w:trPr>
          <w:trHeight w:val="1004"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szCs w:val="24"/>
                <w:lang w:bidi="ar"/>
              </w:rPr>
              <w:t>会计手工实训室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color w:val="000000"/>
                <w:kern w:val="0"/>
                <w:sz w:val="24"/>
                <w:szCs w:val="24"/>
                <w:lang w:bidi="ar"/>
              </w:rPr>
              <w:t>满足会计手工课程需要</w:t>
            </w:r>
          </w:p>
        </w:tc>
        <w:tc>
          <w:tcPr>
            <w:tcW w:w="4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color w:val="000000"/>
                <w:kern w:val="0"/>
                <w:sz w:val="24"/>
                <w:szCs w:val="24"/>
                <w:lang w:bidi="ar"/>
              </w:rPr>
              <w:t>多媒体教师桌；物品柜1台；桌椅40套；装订机2台；手写投影仪1台；印章套装1套；手工会计实训挂图；手工记账各类教具及学生用具。</w:t>
            </w:r>
          </w:p>
        </w:tc>
      </w:tr>
      <w:tr>
        <w:tblPrEx>
          <w:tblCellMar>
            <w:top w:w="0" w:type="dxa"/>
            <w:left w:w="108" w:type="dxa"/>
            <w:bottom w:w="0" w:type="dxa"/>
            <w:right w:w="108" w:type="dxa"/>
          </w:tblCellMar>
        </w:tblPrEx>
        <w:trPr>
          <w:trHeight w:val="1004"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收银实训室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满足收银实训练习需要</w:t>
            </w:r>
          </w:p>
        </w:tc>
        <w:tc>
          <w:tcPr>
            <w:tcW w:w="4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收银机40台；收银台40台；条码打印机1台；货架6支；条码计价电子秤1台；称重台2张；商超系统实训管理软件。</w:t>
            </w:r>
          </w:p>
        </w:tc>
      </w:tr>
    </w:tbl>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3.校外实训基地</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会计岗位实习要求，依托企业财务部门、会计师事务所等机构建立会计岗位工作实习基地。</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主要包括能够满足学生专业学习、教师专业教学研究和教学实施需要的教材、图书</w:t>
      </w:r>
      <w:r>
        <w:rPr>
          <w:rFonts w:hint="eastAsia" w:ascii="仿宋" w:hAnsi="仿宋" w:eastAsia="仿宋" w:cs="仿宋"/>
          <w:sz w:val="32"/>
          <w:szCs w:val="32"/>
        </w:rPr>
        <w:t>和数字资源等。</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1.教材选用基本要求</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健全教材选用制度，选用体现新技术、新工艺、新规范等的高质量教材，引入典型生产案例。</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按照学校的教材选用制度，优先从国家和省规划教材中</w:t>
      </w:r>
      <w:r>
        <w:rPr>
          <w:rFonts w:hint="eastAsia" w:ascii="仿宋" w:hAnsi="仿宋" w:eastAsia="仿宋" w:cs="仿宋"/>
          <w:sz w:val="32"/>
          <w:szCs w:val="32"/>
        </w:rPr>
        <w:t>选用。鼓励与行业企业合作开发特色鲜明的专业课校本教材。</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2.图书文献配备基本要求</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以会计事务专业学生和教师需求为主，应当包括适合会计事务</w:t>
      </w:r>
      <w:r>
        <w:rPr>
          <w:rFonts w:hint="eastAsia" w:ascii="仿宋" w:hAnsi="仿宋" w:eastAsia="仿宋" w:cs="仿宋"/>
          <w:spacing w:val="-5"/>
          <w:sz w:val="32"/>
          <w:szCs w:val="32"/>
        </w:rPr>
        <w:t>专业阅读的各类图书和报刊，供师生使用的工具书、教学参考书和应用型的专业书籍，</w:t>
      </w:r>
      <w:r>
        <w:rPr>
          <w:rFonts w:hint="eastAsia" w:ascii="仿宋" w:hAnsi="仿宋" w:eastAsia="仿宋" w:cs="仿宋"/>
          <w:spacing w:val="-93"/>
          <w:sz w:val="32"/>
          <w:szCs w:val="32"/>
        </w:rPr>
        <w:t xml:space="preserve"> </w:t>
      </w:r>
      <w:r>
        <w:rPr>
          <w:rFonts w:hint="eastAsia" w:ascii="仿宋" w:hAnsi="仿宋" w:eastAsia="仿宋" w:cs="仿宋"/>
          <w:sz w:val="32"/>
          <w:szCs w:val="32"/>
        </w:rPr>
        <w:t>每年要剔旧更新图书。</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3.数字资源配备基本要求</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加快建设智能化教学支持环境，建设能够满足多样化需求的课程资源，创新服务供给模式，服务学生终身学习。包括本专业的教学设计、教学课件、微课程、教学录像、网络课程、</w:t>
      </w:r>
      <w:r>
        <w:rPr>
          <w:rFonts w:hint="eastAsia" w:ascii="仿宋" w:hAnsi="仿宋" w:eastAsia="仿宋" w:cs="仿宋"/>
          <w:sz w:val="32"/>
          <w:szCs w:val="32"/>
        </w:rPr>
        <w:t>教学案例、</w:t>
      </w:r>
      <w:r>
        <w:rPr>
          <w:rFonts w:hint="eastAsia" w:ascii="仿宋" w:hAnsi="仿宋" w:eastAsia="仿宋" w:cs="仿宋"/>
          <w:spacing w:val="-8"/>
          <w:sz w:val="32"/>
          <w:szCs w:val="32"/>
        </w:rPr>
        <w:t>考核方案</w:t>
      </w:r>
      <w:r>
        <w:rPr>
          <w:rFonts w:hint="eastAsia" w:ascii="仿宋" w:hAnsi="仿宋" w:eastAsia="仿宋" w:cs="仿宋"/>
          <w:sz w:val="32"/>
          <w:szCs w:val="32"/>
        </w:rPr>
        <w:t>等。</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spacing w:line="560" w:lineRule="exact"/>
        <w:ind w:firstLine="595"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1.突出职业能力的考核评价方式，体现对综合素质的评价，吸纳更多行业企业和社会有关方面组织参与考核评价。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2.严格落实培养目标和培养规格要求，加大过程考核、实践技能考核成绩在课程总成绩中的比重。</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3.严格考试纪律，健全多元化考核评价体系，完善学生学习过程监测、评价与反馈机制，引导学生自我管理、主动学习，提高学习效率。</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4.强化实习、实训、毕业设计（论文）等实践性教学环节的全过程管理与考核评价。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评价过程中应注意以下几点：</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1.结合课堂提问、现场操作、课后作业、模块考核等手段，构建“多形式、多项目”的课程考核标准，加强实践环节的考核，并注重平时采分。</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2.强调理论与实践一体化评价，注重引导学生进行学习方式的改变。</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3.鼓励学生参加省、市、国家级本专业技能比赛，以竞赛组织方级别和获奖等级为依据折合成相关专业课程的成绩。</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4.将学业考核与职业资格证书相结合，允许用职业资格证书替代相关专业的课程成绩。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1.学校和专业部要建立专业建设和教学过程质量监控机制，健全专业教学质量监控管理制度，通过教学实施、过程监控、质量评价和持续改进，达成人才培养规格。</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和专业部要完善教学管理机制，加强日常教学组织运行与管理，建立健全巡课、听课、评教、评学等制度，建立与行业企业联动的实践教学环节督导制度，严明教学纪律，强化教学组织功能。定期开展公开课、示范课等教研活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和专业部要完善专业、课程教学工作诊断与改进制度，健全专业教学质量监控和评价机制，及时开展专业调研、人才培养方案更新和教学资源建设工作，加强课堂教学、实习实训、毕业设计等方面质量标准建设，提升教学质量。</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九、毕业要求</w:t>
      </w:r>
    </w:p>
    <w:p>
      <w:pPr>
        <w:spacing w:line="560" w:lineRule="exact"/>
        <w:ind w:firstLine="627"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（一）学生修完本专业人才培养方案所规定的课程并成绩合格，实习期间按时完成实习报告。</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（二）按照学校《毕业资格认定办法》，达到本专业人才培养目标和培养规格的要求方可毕业。</w:t>
      </w:r>
    </w:p>
    <w:p>
      <w:pPr>
        <w:pStyle w:val="2"/>
        <w:rPr>
          <w:rFonts w:ascii="黑体" w:hAnsi="黑体" w:eastAsia="黑体" w:cs="黑体"/>
          <w:color w:val="000000" w:themeColor="text1"/>
          <w:sz w:val="32"/>
          <w:szCs w:val="32"/>
          <w:lang w:val="en-US" w:bidi="ar-SA"/>
          <w14:textFill>
            <w14:solidFill>
              <w14:schemeClr w14:val="tx1"/>
            </w14:solidFill>
          </w14:textFill>
        </w:rPr>
      </w:pPr>
      <w:r>
        <w:rPr>
          <w:rFonts w:hint="eastAsia" w:ascii="黑体" w:hAnsi="黑体" w:eastAsia="黑体" w:cs="黑体"/>
          <w:color w:val="000000" w:themeColor="text1"/>
          <w:sz w:val="32"/>
          <w:szCs w:val="32"/>
          <w:lang w:val="en-US" w:bidi="ar-SA"/>
          <w14:textFill>
            <w14:solidFill>
              <w14:schemeClr w14:val="tx1"/>
            </w14:solidFill>
          </w14:textFill>
        </w:rPr>
        <w:t>十、接续专业举例</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接续高职专科专业举例：财税大数据应用、大数据与财务管理、大数据与会计、大数据与审计、会计信息管理等。</w:t>
      </w:r>
    </w:p>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8EB3C-02AE-4DD0-8EC4-F7FA38D12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99AB4C31-5978-4649-9130-1C4C128C6D6B}"/>
  </w:font>
  <w:font w:name="仿宋">
    <w:panose1 w:val="02010609060101010101"/>
    <w:charset w:val="86"/>
    <w:family w:val="modern"/>
    <w:pitch w:val="default"/>
    <w:sig w:usb0="800002BF" w:usb1="38CF7CFA" w:usb2="00000016" w:usb3="00000000" w:csb0="00040001" w:csb1="00000000"/>
    <w:embedRegular r:id="rId3" w:fontKey="{1DD6D359-FC2E-48D9-B751-4D9CD6FC5C62}"/>
  </w:font>
  <w:font w:name="楷体">
    <w:panose1 w:val="02010609060101010101"/>
    <w:charset w:val="86"/>
    <w:family w:val="modern"/>
    <w:pitch w:val="default"/>
    <w:sig w:usb0="800002BF" w:usb1="38CF7CFA" w:usb2="00000016" w:usb3="00000000" w:csb0="00040001" w:csb1="00000000"/>
    <w:embedRegular r:id="rId4" w:fontKey="{EEC15921-DCB0-490A-A263-D6EB276078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85A5E"/>
    <w:rsid w:val="001C1D7A"/>
    <w:rsid w:val="001D31EC"/>
    <w:rsid w:val="00205BDC"/>
    <w:rsid w:val="00215842"/>
    <w:rsid w:val="002642B5"/>
    <w:rsid w:val="002C2950"/>
    <w:rsid w:val="002C70FB"/>
    <w:rsid w:val="002D3BD5"/>
    <w:rsid w:val="00303F21"/>
    <w:rsid w:val="00310D19"/>
    <w:rsid w:val="0034209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7F00"/>
    <w:rsid w:val="004C454F"/>
    <w:rsid w:val="004D55CA"/>
    <w:rsid w:val="004E015D"/>
    <w:rsid w:val="00503079"/>
    <w:rsid w:val="00514ED8"/>
    <w:rsid w:val="00571BAF"/>
    <w:rsid w:val="0058042F"/>
    <w:rsid w:val="00581B78"/>
    <w:rsid w:val="005C1BFE"/>
    <w:rsid w:val="005E126F"/>
    <w:rsid w:val="005F298D"/>
    <w:rsid w:val="006408F8"/>
    <w:rsid w:val="00656CD9"/>
    <w:rsid w:val="00691C72"/>
    <w:rsid w:val="006C416F"/>
    <w:rsid w:val="006D122A"/>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960D3"/>
    <w:rsid w:val="009C1ADD"/>
    <w:rsid w:val="009C70B9"/>
    <w:rsid w:val="009D52C9"/>
    <w:rsid w:val="00A3043A"/>
    <w:rsid w:val="00A43E1C"/>
    <w:rsid w:val="00A445C7"/>
    <w:rsid w:val="00A822D0"/>
    <w:rsid w:val="00AF42AE"/>
    <w:rsid w:val="00B06BF2"/>
    <w:rsid w:val="00B42E5E"/>
    <w:rsid w:val="00B5098A"/>
    <w:rsid w:val="00B52B47"/>
    <w:rsid w:val="00B9046B"/>
    <w:rsid w:val="00BD39B1"/>
    <w:rsid w:val="00C171FC"/>
    <w:rsid w:val="00C46046"/>
    <w:rsid w:val="00CB280F"/>
    <w:rsid w:val="00CC065A"/>
    <w:rsid w:val="00CE49D6"/>
    <w:rsid w:val="00D014E2"/>
    <w:rsid w:val="00D22EBC"/>
    <w:rsid w:val="00D32F62"/>
    <w:rsid w:val="00D37ABB"/>
    <w:rsid w:val="00D93BBC"/>
    <w:rsid w:val="00DC496D"/>
    <w:rsid w:val="00DE36EA"/>
    <w:rsid w:val="00DE677C"/>
    <w:rsid w:val="00DF6AB5"/>
    <w:rsid w:val="00DF6C02"/>
    <w:rsid w:val="00E02047"/>
    <w:rsid w:val="00E26D88"/>
    <w:rsid w:val="00E47D09"/>
    <w:rsid w:val="00E84F4E"/>
    <w:rsid w:val="00E96D3A"/>
    <w:rsid w:val="00EC2BBA"/>
    <w:rsid w:val="00ED6691"/>
    <w:rsid w:val="00ED6820"/>
    <w:rsid w:val="00EF0F8C"/>
    <w:rsid w:val="00F444E1"/>
    <w:rsid w:val="00F82C0E"/>
    <w:rsid w:val="00F87C0A"/>
    <w:rsid w:val="00F9175A"/>
    <w:rsid w:val="00F93ED3"/>
    <w:rsid w:val="00FA6E2C"/>
    <w:rsid w:val="00FB6A8C"/>
    <w:rsid w:val="00FD78B9"/>
    <w:rsid w:val="00FE7A39"/>
    <w:rsid w:val="0123324D"/>
    <w:rsid w:val="02D85EB2"/>
    <w:rsid w:val="05373B10"/>
    <w:rsid w:val="08550944"/>
    <w:rsid w:val="088C4D6A"/>
    <w:rsid w:val="0B430809"/>
    <w:rsid w:val="0E160667"/>
    <w:rsid w:val="102313C5"/>
    <w:rsid w:val="102B5D95"/>
    <w:rsid w:val="108B4910"/>
    <w:rsid w:val="12FE508A"/>
    <w:rsid w:val="138D6DEC"/>
    <w:rsid w:val="149D23A8"/>
    <w:rsid w:val="14D06118"/>
    <w:rsid w:val="182F1870"/>
    <w:rsid w:val="198151FF"/>
    <w:rsid w:val="1B0B196C"/>
    <w:rsid w:val="1C1C6C26"/>
    <w:rsid w:val="1D2D5EFB"/>
    <w:rsid w:val="1DDF63ED"/>
    <w:rsid w:val="220D77DF"/>
    <w:rsid w:val="230706D2"/>
    <w:rsid w:val="23B71BC2"/>
    <w:rsid w:val="24092228"/>
    <w:rsid w:val="256E6505"/>
    <w:rsid w:val="26B81385"/>
    <w:rsid w:val="295E48AC"/>
    <w:rsid w:val="2AB46BFB"/>
    <w:rsid w:val="2B4071BA"/>
    <w:rsid w:val="2D0A5F7B"/>
    <w:rsid w:val="2E1D31F2"/>
    <w:rsid w:val="2E9D638E"/>
    <w:rsid w:val="2F997C91"/>
    <w:rsid w:val="30516BD9"/>
    <w:rsid w:val="3130246D"/>
    <w:rsid w:val="32B141B6"/>
    <w:rsid w:val="33BE724F"/>
    <w:rsid w:val="355F7A83"/>
    <w:rsid w:val="377A101B"/>
    <w:rsid w:val="3A2F7418"/>
    <w:rsid w:val="3D4E2867"/>
    <w:rsid w:val="3DF15DAF"/>
    <w:rsid w:val="42DE25ED"/>
    <w:rsid w:val="43903FD4"/>
    <w:rsid w:val="446C43E1"/>
    <w:rsid w:val="448E07FB"/>
    <w:rsid w:val="44D21408"/>
    <w:rsid w:val="45B1409B"/>
    <w:rsid w:val="46136855"/>
    <w:rsid w:val="47954D07"/>
    <w:rsid w:val="49415E3C"/>
    <w:rsid w:val="49F16E16"/>
    <w:rsid w:val="4A833B86"/>
    <w:rsid w:val="4B7B0E38"/>
    <w:rsid w:val="4C3929FC"/>
    <w:rsid w:val="4C8F331D"/>
    <w:rsid w:val="4DF3619E"/>
    <w:rsid w:val="4E077ADB"/>
    <w:rsid w:val="4E2207FC"/>
    <w:rsid w:val="4FD55530"/>
    <w:rsid w:val="51DF0906"/>
    <w:rsid w:val="553A466A"/>
    <w:rsid w:val="56EA5E07"/>
    <w:rsid w:val="581F37ED"/>
    <w:rsid w:val="588D5686"/>
    <w:rsid w:val="5D6D6DA8"/>
    <w:rsid w:val="622928C7"/>
    <w:rsid w:val="64BC23C3"/>
    <w:rsid w:val="658F7382"/>
    <w:rsid w:val="667E1760"/>
    <w:rsid w:val="6A0C333F"/>
    <w:rsid w:val="6ACF5FB6"/>
    <w:rsid w:val="6F655004"/>
    <w:rsid w:val="70FC60D0"/>
    <w:rsid w:val="713C2FB5"/>
    <w:rsid w:val="71DB6FD3"/>
    <w:rsid w:val="71E415DB"/>
    <w:rsid w:val="73F25315"/>
    <w:rsid w:val="74196E47"/>
    <w:rsid w:val="761F7F03"/>
    <w:rsid w:val="76296BDC"/>
    <w:rsid w:val="77660A29"/>
    <w:rsid w:val="79E8523D"/>
    <w:rsid w:val="7B5829EE"/>
    <w:rsid w:val="7B95779E"/>
    <w:rsid w:val="7CCB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1"/>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rFonts w:ascii="Calibri" w:hAnsi="Calibri" w:eastAsia="宋体" w:cs="Times New Roman"/>
      <w:sz w:val="18"/>
      <w:szCs w:val="18"/>
    </w:rPr>
  </w:style>
  <w:style w:type="character" w:customStyle="1" w:styleId="13">
    <w:name w:val="页脚 字符"/>
    <w:basedOn w:val="9"/>
    <w:link w:val="5"/>
    <w:qFormat/>
    <w:uiPriority w:val="99"/>
    <w:rPr>
      <w:rFonts w:ascii="Calibri" w:hAnsi="Calibri" w:eastAsia="宋体" w:cs="Times New Roman"/>
      <w:sz w:val="18"/>
      <w:szCs w:val="18"/>
    </w:rPr>
  </w:style>
  <w:style w:type="character" w:customStyle="1" w:styleId="14">
    <w:name w:val="批注框文本 字符"/>
    <w:basedOn w:val="9"/>
    <w:link w:val="4"/>
    <w:semiHidden/>
    <w:qFormat/>
    <w:uiPriority w:val="99"/>
    <w:rPr>
      <w:rFonts w:ascii="Calibri" w:hAnsi="Calibri" w:eastAsia="宋体" w:cs="Times New Roman"/>
      <w:sz w:val="18"/>
      <w:szCs w:val="18"/>
    </w:rPr>
  </w:style>
  <w:style w:type="paragraph" w:customStyle="1" w:styleId="15">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6">
    <w:name w:val="正文文本 字符"/>
    <w:basedOn w:val="9"/>
    <w:link w:val="3"/>
    <w:qFormat/>
    <w:uiPriority w:val="1"/>
    <w:rPr>
      <w:rFonts w:ascii="Calibri" w:hAnsi="Calibri" w:eastAsia="宋体" w:cs="Times New Roman"/>
    </w:rPr>
  </w:style>
  <w:style w:type="paragraph" w:styleId="17">
    <w:name w:val="List Paragraph"/>
    <w:basedOn w:val="1"/>
    <w:qFormat/>
    <w:uiPriority w:val="34"/>
    <w:pPr>
      <w:ind w:firstLine="420" w:firstLineChars="200"/>
    </w:pPr>
  </w:style>
  <w:style w:type="character" w:customStyle="1" w:styleId="18">
    <w:name w:val="font21"/>
    <w:basedOn w:val="9"/>
    <w:qFormat/>
    <w:uiPriority w:val="0"/>
    <w:rPr>
      <w:rFonts w:ascii="Calibri" w:hAnsi="Calibri" w:cs="Calibri"/>
      <w:color w:val="000000"/>
      <w:sz w:val="22"/>
      <w:szCs w:val="22"/>
      <w:u w:val="none"/>
    </w:rPr>
  </w:style>
  <w:style w:type="character" w:customStyle="1" w:styleId="19">
    <w:name w:val="font31"/>
    <w:basedOn w:val="9"/>
    <w:qFormat/>
    <w:uiPriority w:val="0"/>
    <w:rPr>
      <w:rFonts w:hint="eastAsia" w:ascii="宋体" w:hAnsi="宋体" w:eastAsia="宋体" w:cs="宋体"/>
      <w:color w:val="000000"/>
      <w:sz w:val="22"/>
      <w:szCs w:val="22"/>
      <w:u w:val="none"/>
    </w:rPr>
  </w:style>
  <w:style w:type="character" w:customStyle="1" w:styleId="20">
    <w:name w:val="font41"/>
    <w:basedOn w:val="9"/>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B1564-021B-4FD5-B091-B1EFA7D96C1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7818</Words>
  <Characters>8030</Characters>
  <Lines>66</Lines>
  <Paragraphs>18</Paragraphs>
  <TotalTime>0</TotalTime>
  <ScaleCrop>false</ScaleCrop>
  <LinksUpToDate>false</LinksUpToDate>
  <CharactersWithSpaces>8275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2024-03-13T04:50:48Z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B574BF43E1BA4B108AFB897567076DED</vt:lpwstr>
  </property>
</Properties>
</file>